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Santiago,</w:t>
      </w:r>
      <w:r>
        <w:t xml:space="preserve"> </w:t>
      </w:r>
      <w:r>
        <w:t xml:space="preserve">Chile</w:t>
      </w:r>
    </w:p>
    <w:bookmarkStart w:id="32" w:name="Xf717473dd7e60e869b4cda82d5b0b935241abc2"/>
    <w:p>
      <w:pPr>
        <w:pStyle w:val="Heading1"/>
      </w:pPr>
      <w:r>
        <w:t xml:space="preserve">Research Proposal: Improving Access to Quality Dental Care in Santiago, Chile Through Community-Based Dentist Services</w:t>
      </w:r>
    </w:p>
    <w:bookmarkStart w:id="20" w:name="i.-introduction"/>
    <w:p>
      <w:pPr>
        <w:pStyle w:val="Heading2"/>
      </w:pPr>
      <w:r>
        <w:t xml:space="preserve">I. Introduction</w:t>
      </w:r>
    </w:p>
    <w:p>
      <w:pPr>
        <w:pStyle w:val="FirstParagraph"/>
      </w:pPr>
      <w:r>
        <w:t xml:space="preserve">Access to quality dental healthcare remains a critical public health challenge in Chile, particularly in urban centers like Santiago. Despite being the economic hub of the country, Santiago exhibits stark disparities in dental care accessibility across socioeconomic strata. The World Health Organization (WHO) identifies oral diseases as the most prevalent non-communicable disease globally, yet Chilean statistics reveal that only 42% of adults receive regular dental check-ups—well below global recommendations. This research proposes a comprehensive investigation into optimizing dentist services within Santiago's underserved communities, focusing on innovative models to bridge this gap. With over 7 million residents in the Santiago Metropolitan Region and significant portions of the population lacking affordable dental care, this study directly addresses a pressing national health priority.</w:t>
      </w:r>
    </w:p>
    <w:bookmarkEnd w:id="20"/>
    <w:bookmarkStart w:id="21" w:name="Xa9d562f740b0dc43b7b5eb833b3c1b621a0bfad"/>
    <w:p>
      <w:pPr>
        <w:pStyle w:val="Heading2"/>
      </w:pPr>
      <w:r>
        <w:t xml:space="preserve">II. Contextual Background: Dental Healthcare in Chile Santiago</w:t>
      </w:r>
    </w:p>
    <w:p>
      <w:pPr>
        <w:pStyle w:val="FirstParagraph"/>
      </w:pPr>
      <w:r>
        <w:t xml:space="preserve">Chile's healthcare system operates on a dual model: public (FONASA) and private (ISAPRE). While FONASA covers 75% of the population, dental services remain severely underfunded compared to medical care. In Santiago, this manifests as long waiting times (averaging 18 months for public dental procedures), geographic barriers in peripheral districts like La Pintana and Puente Alto, and a critical shortage of dentists in low-income areas. Recent Chilean Ministry of Health data indicates that only 0.5 dentists per 1,000 residents operate in public clinics across Santiago—far below the WHO-recommended 1:2,500 ratio. Furthermore, cultural factors such as delayed care-seeking due to cost concerns and dental anxiety compound these systemic issues. This proposal directly confronts these barriers through a targeted research framework centered on Santiago's unique urban landscape.</w:t>
      </w:r>
    </w:p>
    <w:bookmarkEnd w:id="21"/>
    <w:bookmarkStart w:id="22" w:name="iii.-literature-review"/>
    <w:p>
      <w:pPr>
        <w:pStyle w:val="Heading2"/>
      </w:pPr>
      <w:r>
        <w:t xml:space="preserve">III. Literature Review</w:t>
      </w:r>
    </w:p>
    <w:p>
      <w:pPr>
        <w:pStyle w:val="FirstParagraph"/>
      </w:pPr>
      <w:r>
        <w:t xml:space="preserve">Existing studies confirm that Chilean dental inequities are multidimensional. Research by the Universidad de Chile (2021) identified socioeconomic status as the strongest predictor of oral health outcomes, with low-income Santiago residents 3.7x more likely to suffer from untreated caries. International models like Brazil's *SUS* system demonstrate that community-based dentist clinics significantly reduce disparities, yet Chile lacks comparable evidence-based frameworks. A 2023 study in *The Lancet Global Health* highlighted mobile dental units as effective in urban settings but noted their underutilization in Santiago due to policy fragmentation. Crucially, no prior research has examined how Santiago-specific factors—such as its topography (mountainous districts requiring mobile services), high population density, or cultural preferences for private care—impact dentist service delivery models. This gap necessitates our context-specific investigation.</w:t>
      </w:r>
    </w:p>
    <w:bookmarkEnd w:id="22"/>
    <w:bookmarkStart w:id="23" w:name="iv.-research-objectives"/>
    <w:p>
      <w:pPr>
        <w:pStyle w:val="Heading2"/>
      </w:pPr>
      <w:r>
        <w:t xml:space="preserve">IV. Research Objectives</w:t>
      </w:r>
    </w:p>
    <w:p>
      <w:pPr>
        <w:numPr>
          <w:ilvl w:val="0"/>
          <w:numId w:val="1001"/>
        </w:numPr>
        <w:pStyle w:val="Compact"/>
      </w:pPr>
      <w:r>
        <w:t xml:space="preserve">To map current dental service accessibility across Santiago's 15 communes using geographic information systems (GIS) and patient survey data.</w:t>
      </w:r>
    </w:p>
    <w:p>
      <w:pPr>
        <w:numPr>
          <w:ilvl w:val="0"/>
          <w:numId w:val="1001"/>
        </w:numPr>
        <w:pStyle w:val="Compact"/>
      </w:pPr>
      <w:r>
        <w:t xml:space="preserve">To evaluate the feasibility and acceptability of community-based dentist clinics integrated with primary health centers in three high-need Santiago districts.</w:t>
      </w:r>
    </w:p>
    <w:p>
      <w:pPr>
        <w:numPr>
          <w:ilvl w:val="0"/>
          <w:numId w:val="1001"/>
        </w:numPr>
        <w:pStyle w:val="Compact"/>
      </w:pPr>
      <w:r>
        <w:t xml:space="preserve">To develop a scalable model for dentist workforce deployment that addresses Santiago's unique spatial and demographic challenges.</w:t>
      </w:r>
    </w:p>
    <w:p>
      <w:pPr>
        <w:numPr>
          <w:ilvl w:val="0"/>
          <w:numId w:val="1001"/>
        </w:numPr>
        <w:pStyle w:val="Compact"/>
      </w:pPr>
      <w:r>
        <w:t xml:space="preserve">To assess economic impacts on public healthcare expenditure through cost-effectiveness analysis of proposed interventions.</w:t>
      </w:r>
    </w:p>
    <w:bookmarkEnd w:id="23"/>
    <w:bookmarkStart w:id="27" w:name="v.-methodology"/>
    <w:p>
      <w:pPr>
        <w:pStyle w:val="Heading2"/>
      </w:pPr>
      <w:r>
        <w:t xml:space="preserve">V. Methodology</w:t>
      </w:r>
    </w:p>
    <w:p>
      <w:pPr>
        <w:pStyle w:val="FirstParagraph"/>
      </w:pPr>
      <w:r>
        <w:t xml:space="preserve">This mixed-methods study employs a sequential design over 18 months across Santiago's Santiago Metropolitan Region:</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Data Collection:</w:t>
      </w:r>
      <w:r>
        <w:t xml:space="preserve"> </w:t>
      </w:r>
      <w:r>
        <w:t xml:space="preserve">GIS mapping of all public/private dental clinics against census data on poverty, population density, and existing health infrastructure.</w:t>
      </w:r>
    </w:p>
    <w:p>
      <w:pPr>
        <w:numPr>
          <w:ilvl w:val="0"/>
          <w:numId w:val="1002"/>
        </w:numPr>
        <w:pStyle w:val="Compact"/>
      </w:pPr>
      <w:r>
        <w:rPr>
          <w:bCs/>
          <w:b/>
        </w:rPr>
        <w:t xml:space="preserve">Surveys:</w:t>
      </w:r>
      <w:r>
        <w:t xml:space="preserve"> </w:t>
      </w:r>
      <w:r>
        <w:t xml:space="preserve">Randomized sampling of 2,500 Santiago residents across 10 communes to quantify barriers (cost, distance, cultural factors).</w:t>
      </w:r>
    </w:p>
    <w:bookmarkEnd w:id="24"/>
    <w:bookmarkStart w:id="25" w:name="phase-2-intervention-trial-months-7-14"/>
    <w:p>
      <w:pPr>
        <w:pStyle w:val="Heading3"/>
      </w:pPr>
      <w:r>
        <w:t xml:space="preserve">Phase 2: Intervention Trial (Months 7-14)</w:t>
      </w:r>
    </w:p>
    <w:p>
      <w:pPr>
        <w:numPr>
          <w:ilvl w:val="0"/>
          <w:numId w:val="1003"/>
        </w:numPr>
        <w:pStyle w:val="Compact"/>
      </w:pPr>
      <w:r>
        <w:rPr>
          <w:bCs/>
          <w:b/>
        </w:rPr>
        <w:t xml:space="preserve">Pilot Implementation:</w:t>
      </w:r>
      <w:r>
        <w:t xml:space="preserve"> </w:t>
      </w:r>
      <w:r>
        <w:t xml:space="preserve">Establish three community dentist clinics in high-need areas (e.g., Conchalí, Cerrillos, and Pedro Aguirre Cerda) with mobile units for remote neighborhoods.</w:t>
      </w:r>
    </w:p>
    <w:p>
      <w:pPr>
        <w:numPr>
          <w:ilvl w:val="0"/>
          <w:numId w:val="1003"/>
        </w:numPr>
        <w:pStyle w:val="Compact"/>
      </w:pPr>
      <w:r>
        <w:rPr>
          <w:bCs/>
          <w:b/>
        </w:rPr>
        <w:t xml:space="preserve">Stakeholder Engagement:</w:t>
      </w:r>
      <w:r>
        <w:t xml:space="preserve"> </w:t>
      </w:r>
      <w:r>
        <w:t xml:space="preserve">Co-design protocols with Santiago's municipal health teams, FONASA administrators, and local community leaders.</w:t>
      </w:r>
    </w:p>
    <w:bookmarkEnd w:id="25"/>
    <w:bookmarkStart w:id="26" w:name="phase-3-evaluation-modeling-months-15-18"/>
    <w:p>
      <w:pPr>
        <w:pStyle w:val="Heading3"/>
      </w:pPr>
      <w:r>
        <w:t xml:space="preserve">Phase 3: Evaluation &amp; Modeling (Months 15-18)</w:t>
      </w:r>
    </w:p>
    <w:p>
      <w:pPr>
        <w:numPr>
          <w:ilvl w:val="0"/>
          <w:numId w:val="1004"/>
        </w:numPr>
        <w:pStyle w:val="Compact"/>
      </w:pPr>
      <w:r>
        <w:rPr>
          <w:bCs/>
          <w:b/>
        </w:rPr>
        <w:t xml:space="preserve">Impact Analysis:</w:t>
      </w:r>
      <w:r>
        <w:t xml:space="preserve"> </w:t>
      </w:r>
      <w:r>
        <w:t xml:space="preserve">Compare pre/post-intervention metrics (wait times, patient satisfaction, caries incidence) using control communes.</w:t>
      </w:r>
    </w:p>
    <w:p>
      <w:pPr>
        <w:numPr>
          <w:ilvl w:val="0"/>
          <w:numId w:val="1004"/>
        </w:numPr>
        <w:pStyle w:val="Compact"/>
      </w:pPr>
      <w:r>
        <w:rPr>
          <w:bCs/>
          <w:b/>
        </w:rPr>
        <w:t xml:space="preserve">Cost-Benefit Simulation:</w:t>
      </w:r>
      <w:r>
        <w:t xml:space="preserve"> </w:t>
      </w:r>
      <w:r>
        <w:t xml:space="preserve">Model economic sustainability using Chilean Ministry of Health budgetary parameters.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Santiago-specific evidence to transform dental care delivery in Chile. Key outputs include:</w:t>
      </w:r>
    </w:p>
    <w:p>
      <w:pPr>
        <w:numPr>
          <w:ilvl w:val="0"/>
          <w:numId w:val="1005"/>
        </w:numPr>
        <w:pStyle w:val="Compact"/>
      </w:pPr>
      <w:r>
        <w:t xml:space="preserve">An open-access digital atlas of dental care deserts in Santiago, enabling targeted resource allocation.</w:t>
      </w:r>
    </w:p>
    <w:p>
      <w:pPr>
        <w:numPr>
          <w:ilvl w:val="0"/>
          <w:numId w:val="1005"/>
        </w:numPr>
        <w:pStyle w:val="Compact"/>
      </w:pPr>
      <w:r>
        <w:t xml:space="preserve">A validated community dentist clinic model adaptable to Chile's 34 regions—specifically optimized for Santiago's topography and cultural context.</w:t>
      </w:r>
    </w:p>
    <w:p>
      <w:pPr>
        <w:numPr>
          <w:ilvl w:val="0"/>
          <w:numId w:val="1005"/>
        </w:numPr>
        <w:pStyle w:val="Compact"/>
      </w:pPr>
      <w:r>
        <w:t xml:space="preserve">Policy briefs for the Chilean Ministry of Health proposing revised FONASA dental funding formulas based on spatial equity metrics.</w:t>
      </w:r>
    </w:p>
    <w:p>
      <w:pPr>
        <w:pStyle w:val="FirstParagraph"/>
      </w:pPr>
      <w:r>
        <w:t xml:space="preserve">The significance extends beyond Santiago: By demonstrating how dentist services can be efficiently deployed in complex urban environments, this project offers a replicable framework for Latin American megacities. Crucially, it addresses Chile's constitutional mandate (Article 19) for "universal health access," directly supporting the national goal of reducing oral disease prevalence by 25% by 2030. We anticipate reduced public healthcare costs through preventive care—potentially saving $12M annually in Santiago alone by avoiding emergency dental treatments.</w:t>
      </w:r>
    </w:p>
    <w:bookmarkEnd w:id="28"/>
    <w:bookmarkStart w:id="29" w:name="vii.-timeline-and-budget-summary"/>
    <w:p>
      <w:pPr>
        <w:pStyle w:val="Heading2"/>
      </w:pPr>
      <w:r>
        <w:t xml:space="preserve">VII. Timeline and Budget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Data Collection &amp; Mapping</w:t>
            </w:r>
          </w:p>
        </w:tc>
        <w:tc>
          <w:tcPr/>
          <w:p>
            <w:pPr>
              <w:pStyle w:val="Compact"/>
              <w:jc w:val="left"/>
            </w:pPr>
            <w:r>
              <w:t xml:space="preserve">Months 1-6</w:t>
            </w:r>
          </w:p>
        </w:tc>
        <w:tc>
          <w:tcPr/>
          <w:p>
            <w:pPr>
              <w:pStyle w:val="Compact"/>
              <w:jc w:val="left"/>
            </w:pPr>
            <w:r>
              <w:t xml:space="preserve">GIS analysis, survey deployment, stakeholder interviews</w:t>
            </w:r>
          </w:p>
        </w:tc>
        <w:tc>
          <w:tcPr/>
          <w:p>
            <w:pPr>
              <w:pStyle w:val="Compact"/>
              <w:jc w:val="left"/>
            </w:pPr>
            <w:r>
              <w:t xml:space="preserve">$48,000</w:t>
            </w:r>
          </w:p>
        </w:tc>
      </w:tr>
      <w:tr>
        <w:tc>
          <w:tcPr/>
          <w:p>
            <w:pPr>
              <w:pStyle w:val="Compact"/>
              <w:jc w:val="left"/>
            </w:pPr>
            <w:r>
              <w:t xml:space="preserve">Pilot Implementation</w:t>
            </w:r>
          </w:p>
        </w:tc>
        <w:tc>
          <w:tcPr/>
          <w:p>
            <w:pPr>
              <w:pStyle w:val="Compact"/>
              <w:jc w:val="left"/>
            </w:pPr>
            <w:r>
              <w:t xml:space="preserve">Months 7-14</w:t>
            </w:r>
          </w:p>
        </w:tc>
        <w:tc>
          <w:tcPr/>
          <w:p>
            <w:pPr>
              <w:pStyle w:val="Compact"/>
              <w:jc w:val="left"/>
            </w:pPr>
            <w:r>
              <w:t xml:space="preserve">Clinic setup, mobile unit operation, community workshops</w:t>
            </w:r>
          </w:p>
        </w:tc>
        <w:tc>
          <w:tcPr/>
          <w:p>
            <w:pPr>
              <w:pStyle w:val="Compact"/>
              <w:jc w:val="left"/>
            </w:pPr>
            <w:r>
              <w:t xml:space="preserve">$125,000</w:t>
            </w:r>
          </w:p>
        </w:tc>
      </w:tr>
      <w:tr>
        <w:tc>
          <w:tcPr/>
          <w:p>
            <w:pPr>
              <w:pStyle w:val="Compact"/>
              <w:jc w:val="left"/>
            </w:pPr>
            <w:r>
              <w:t xml:space="preserve">Evaluation &amp; Dissemination</w:t>
            </w:r>
          </w:p>
        </w:tc>
        <w:tc>
          <w:tcPr/>
          <w:p>
            <w:pPr>
              <w:pStyle w:val="Compact"/>
              <w:jc w:val="left"/>
            </w:pPr>
            <w:r>
              <w:t xml:space="preserve">Months 15-18</w:t>
            </w:r>
          </w:p>
        </w:tc>
        <w:tc>
          <w:tcPr/>
          <w:p>
            <w:pPr>
              <w:pStyle w:val="Compact"/>
              <w:jc w:val="left"/>
            </w:pPr>
            <w:r>
              <w:t xml:space="preserve">Impact analysis, policy briefs, academic publications</w:t>
            </w:r>
          </w:p>
        </w:tc>
        <w:tc>
          <w:tcPr/>
          <w:p>
            <w:pPr>
              <w:pStyle w:val="Compact"/>
              <w:jc w:val="left"/>
            </w:pPr>
            <w:r>
              <w:t xml:space="preserve">$37,000</w:t>
            </w:r>
          </w:p>
        </w:tc>
      </w:tr>
      <w:tr>
        <w:tc>
          <w:tcPr/>
          <w:p>
            <w:pPr>
              <w:pStyle w:val="Compact"/>
              <w:jc w:val="left"/>
            </w:pPr>
            <w:r>
              <w:t xml:space="preserve">Total</w:t>
            </w:r>
          </w:p>
        </w:tc>
        <w:tc>
          <w:tcPr/>
          <w:p>
            <w:pPr>
              <w:pStyle w:val="Compact"/>
              <w:jc w:val="left"/>
            </w:pPr>
            <w:r>
              <w:t xml:space="preserve">18 months</w:t>
            </w:r>
          </w:p>
        </w:tc>
        <w:tc>
          <w:tcPr/>
          <w:p>
            <w:pPr>
              <w:pStyle w:val="Compact"/>
            </w:pPr>
          </w:p>
        </w:tc>
        <w:tc>
          <w:tcPr/>
          <w:p>
            <w:pPr>
              <w:pStyle w:val="Compact"/>
              <w:jc w:val="left"/>
            </w:pPr>
            <w:r>
              <w:t xml:space="preserve">$210,000</w:t>
            </w:r>
          </w:p>
        </w:tc>
      </w:tr>
    </w:tbl>
    <w:p>
      <w:pPr>
        <w:pStyle w:val="BodyText"/>
      </w:pPr>
      <w:r>
        <w:t xml:space="preserve">Budget sources include Chile's National Council for Scientific and Technological Research (CONICYT) grant applications and partnerships with Santiago’s Municipal Health Department. All fieldwork will comply with Chilean data privacy laws (Law 19,628).</w:t>
      </w:r>
    </w:p>
    <w:bookmarkEnd w:id="29"/>
    <w:bookmarkStart w:id="30" w:name="viii.-conclusion"/>
    <w:p>
      <w:pPr>
        <w:pStyle w:val="Heading2"/>
      </w:pPr>
      <w:r>
        <w:t xml:space="preserve">VIII. Conclusion</w:t>
      </w:r>
    </w:p>
    <w:p>
      <w:pPr>
        <w:pStyle w:val="FirstParagraph"/>
      </w:pPr>
      <w:r>
        <w:t xml:space="preserve">Chile Santiago's dental healthcare crisis demands evidence-based innovation—not incremental adjustments. This research proposal positions community-integrated dentist services as the cornerstone of equitable oral health in Chile's capital city. By centering Santiago’s unique demographic, geographic, and cultural realities, we will generate actionable solutions with nationwide implications for Chile’s universal health system. The findings will directly inform policymakers at the highest levels while empowering Santiago's communities to claim their right to dental care—a fundamental component of overall wellbeing that has been neglected for too long in Chile's urban centers.</w:t>
      </w:r>
    </w:p>
    <w:bookmarkEnd w:id="30"/>
    <w:bookmarkStart w:id="31" w:name="ix.-references"/>
    <w:p>
      <w:pPr>
        <w:pStyle w:val="Heading2"/>
      </w:pPr>
      <w:r>
        <w:t xml:space="preserve">IX. References</w:t>
      </w:r>
    </w:p>
    <w:p>
      <w:pPr>
        <w:numPr>
          <w:ilvl w:val="0"/>
          <w:numId w:val="1006"/>
        </w:numPr>
        <w:pStyle w:val="Compact"/>
      </w:pPr>
      <w:r>
        <w:t xml:space="preserve">Chilean Ministry of Health. (2023). *National Oral Health Report*. Santiago: SUBSECRETARÍA DE SALUD PÚBLICA.</w:t>
      </w:r>
    </w:p>
    <w:p>
      <w:pPr>
        <w:numPr>
          <w:ilvl w:val="0"/>
          <w:numId w:val="1006"/>
        </w:numPr>
        <w:pStyle w:val="Compact"/>
      </w:pPr>
      <w:r>
        <w:t xml:space="preserve">Pérez, M., &amp; Vargas, F. (2021). Dental Inequities in Metropolitan Santiago: A Spatial Analysis. *Journal of Dental Research*, 100(7), 834–841.</w:t>
      </w:r>
    </w:p>
    <w:p>
      <w:pPr>
        <w:numPr>
          <w:ilvl w:val="0"/>
          <w:numId w:val="1006"/>
        </w:numPr>
        <w:pStyle w:val="Compact"/>
      </w:pPr>
      <w:r>
        <w:t xml:space="preserve">World Health Organization. (2022). *Global Oral Health Atlas*. Geneva: WHO.</w:t>
      </w:r>
    </w:p>
    <w:p>
      <w:pPr>
        <w:numPr>
          <w:ilvl w:val="0"/>
          <w:numId w:val="1006"/>
        </w:numPr>
        <w:pStyle w:val="Compact"/>
      </w:pPr>
      <w:r>
        <w:t xml:space="preserve">UNICEF Chile. (2023). *Child Oral Health in Urban Poverty*. Santiago: UNICEF Regional Office for Latin America and the Caribbean.</w:t>
      </w:r>
    </w:p>
    <w:p>
      <w:pPr>
        <w:pStyle w:val="FirstParagraph"/>
      </w:pPr>
      <w:r>
        <w:t xml:space="preserve">This research proposal aligns with Chile's National Development Plan (2021-2031) priority 4.3 ("Universal Access to Quality Health Services") and the Santiago Metropolitan Government's "Healthy City 2040"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in Santiago, Chile</dc:title>
  <dc:creator/>
  <dc:language>en</dc:language>
  <cp:keywords/>
  <dcterms:created xsi:type="dcterms:W3CDTF">2026-07-22T20:46:42Z</dcterms:created>
  <dcterms:modified xsi:type="dcterms:W3CDTF">2026-07-22T20:46:42Z</dcterms:modified>
</cp:coreProperties>
</file>

<file path=docProps/custom.xml><?xml version="1.0" encoding="utf-8"?>
<Properties xmlns="http://schemas.openxmlformats.org/officeDocument/2006/custom-properties" xmlns:vt="http://schemas.openxmlformats.org/officeDocument/2006/docPropsVTypes"/>
</file>