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31" w:name="X9b92716456240970a4686dab1c58f0e58a91f47"/>
    <w:p>
      <w:pPr>
        <w:pStyle w:val="Heading1"/>
      </w:pPr>
      <w:r>
        <w:t xml:space="preserve">Research Proposal: Assessing Barriers and Opportunities for Dental Professionals in Urban Healthcare Systems of Colombia Bogotá</w:t>
      </w:r>
    </w:p>
    <w:bookmarkStart w:id="20" w:name="introduction-and-context"/>
    <w:p>
      <w:pPr>
        <w:pStyle w:val="Heading2"/>
      </w:pPr>
      <w:r>
        <w:t xml:space="preserve">1. Introduction and Context</w:t>
      </w:r>
    </w:p>
    <w:p>
      <w:pPr>
        <w:pStyle w:val="FirstParagraph"/>
      </w:pPr>
      <w:r>
        <w:t xml:space="preserve">In Colombia, oral health remains a critical yet underserved public health priority, particularly within the densely populated capital city of Bogotá. With over 8 million residents, Bogotá faces significant challenges in delivering equitable dental care due to socioeconomic disparities, fragmented healthcare systems, and limited specialized infrastructure. According to the Colombian Ministry of Health (2022), only 35% of Bogotá's population accesses routine dental services annually—far below the global average. This research proposal addresses an urgent gap by focusing on the</w:t>
      </w:r>
      <w:r>
        <w:t xml:space="preserve"> </w:t>
      </w:r>
      <w:r>
        <w:rPr>
          <w:iCs/>
          <w:i/>
        </w:rPr>
        <w:t xml:space="preserve">dentist</w:t>
      </w:r>
      <w:r>
        <w:t xml:space="preserve"> </w:t>
      </w:r>
      <w:r>
        <w:t xml:space="preserve">profession as both a service provider and a systemic lever for improvement. Colombia Bogotá represents an ideal case study due to its diverse demographics, urban health infrastructure, and ongoing national healthcare reforms under Law 1751 (2015) targeting universal access. The proposed study will generate actionable insights to transform dental care delivery in one of Latin America’s most complex urban environments.</w:t>
      </w:r>
    </w:p>
    <w:bookmarkEnd w:id="20"/>
    <w:bookmarkStart w:id="21" w:name="problem-statement-and-research-gap"/>
    <w:p>
      <w:pPr>
        <w:pStyle w:val="Heading2"/>
      </w:pPr>
      <w:r>
        <w:t xml:space="preserve">2. Problem Statement and Research Gap</w:t>
      </w:r>
    </w:p>
    <w:p>
      <w:pPr>
        <w:pStyle w:val="FirstParagraph"/>
      </w:pPr>
      <w:r>
        <w:t xml:space="preserve">Despite Colombia's expansion of the *Sistema General de Seguridad Social en Salud* (SGSSS), dental services remain secondary to other health priorities in Bogotá. A 2023 study by the National University of Colombia revealed that 68% of low-income neighborhoods lack accessible dental facilities, forcing residents to seek care only during emergencies. Crucially,</w:t>
      </w:r>
      <w:r>
        <w:t xml:space="preserve"> </w:t>
      </w:r>
      <w:r>
        <w:rPr>
          <w:iCs/>
          <w:i/>
        </w:rPr>
        <w:t xml:space="preserve">dentist</w:t>
      </w:r>
      <w:r>
        <w:t xml:space="preserve"> </w:t>
      </w:r>
      <w:r>
        <w:t xml:space="preserve">shortages exacerbate this crisis: Bogotá has just 1 dentist per 3,500 residents (vs. WHO’s recommended ratio of 1:2,000). This gap is compounded by high attrition rates among dental professionals due to urban work pressures and inadequate public-sector compensation. Current literature focuses on rural oral health gaps but neglects the *systemic challenges within Bogotá's urban healthcare ecosystem*. This</w:t>
      </w:r>
      <w:r>
        <w:t xml:space="preserve"> </w:t>
      </w:r>
      <w:r>
        <w:rPr>
          <w:iCs/>
          <w:i/>
        </w:rPr>
        <w:t xml:space="preserve">Research Proposal</w:t>
      </w:r>
      <w:r>
        <w:t xml:space="preserve"> </w:t>
      </w:r>
      <w:r>
        <w:t xml:space="preserve">fills that void by centering on the dentist’s role as both a frontline actor and a policy-relevant stakeholder.</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capacity, and utilization patterns of dental services across Bogotá’s 20 districts.</w:t>
      </w:r>
    </w:p>
    <w:p>
      <w:pPr>
        <w:numPr>
          <w:ilvl w:val="0"/>
          <w:numId w:val="1001"/>
        </w:numPr>
        <w:pStyle w:val="Compact"/>
      </w:pPr>
      <w:r>
        <w:t xml:space="preserve">To identify socioeconomic, institutional, and professional barriers hindering effective dental care delivery by local</w:t>
      </w:r>
      <w:r>
        <w:t xml:space="preserve"> </w:t>
      </w:r>
      <w:r>
        <w:rPr>
          <w:iCs/>
          <w:i/>
        </w:rPr>
        <w:t xml:space="preserve">dentist</w:t>
      </w:r>
      <w:r>
        <w:t xml:space="preserve"> </w:t>
      </w:r>
      <w:r>
        <w:t xml:space="preserve">practitioners.</w:t>
      </w:r>
    </w:p>
    <w:p>
      <w:pPr>
        <w:numPr>
          <w:ilvl w:val="0"/>
          <w:numId w:val="1001"/>
        </w:numPr>
        <w:pStyle w:val="Compact"/>
      </w:pPr>
      <w:r>
        <w:t xml:space="preserve">To analyze how Colombia Bogotá’s public-private health partnerships influence service accessibility for vulnerable populations.</w:t>
      </w:r>
    </w:p>
    <w:p>
      <w:pPr>
        <w:numPr>
          <w:ilvl w:val="0"/>
          <w:numId w:val="1001"/>
        </w:numPr>
        <w:pStyle w:val="Compact"/>
      </w:pPr>
      <w:r>
        <w:t xml:space="preserve">To co-design evidence-based interventions with dental professionals for scalable urban oral health models.</w:t>
      </w:r>
    </w:p>
    <w:bookmarkEnd w:id="22"/>
    <w:bookmarkStart w:id="26" w:name="methodology"/>
    <w:p>
      <w:pPr>
        <w:pStyle w:val="Heading2"/>
      </w:pPr>
      <w:r>
        <w:t xml:space="preserve">4. Methodology</w:t>
      </w:r>
    </w:p>
    <w:p>
      <w:pPr>
        <w:pStyle w:val="FirstParagraph"/>
      </w:pPr>
      <w:r>
        <w:t xml:space="preserve">This mixed-methods study employs a 15-month longitudinal approach across Bogotá’s health zones:</w:t>
      </w:r>
    </w:p>
    <w:bookmarkStart w:id="23" w:name="Xbf91e3145c4e6d322f7ccd0b354e5b20e4f7897"/>
    <w:p>
      <w:pPr>
        <w:pStyle w:val="Heading3"/>
      </w:pPr>
      <w:r>
        <w:t xml:space="preserve">Phase 1: Quantitative Assessment (Months 1-4)</w:t>
      </w:r>
    </w:p>
    <w:p>
      <w:pPr>
        <w:numPr>
          <w:ilvl w:val="0"/>
          <w:numId w:val="1002"/>
        </w:numPr>
        <w:pStyle w:val="Compact"/>
      </w:pPr>
      <w:r>
        <w:rPr>
          <w:bCs/>
          <w:b/>
        </w:rPr>
        <w:t xml:space="preserve">Geospatial Analysis:</w:t>
      </w:r>
      <w:r>
        <w:t xml:space="preserve"> </w:t>
      </w:r>
      <w:r>
        <w:t xml:space="preserve">Overlaying dental clinic locations, patient demographics (age, income, insurance status), and public health data using GIS mapping.</w:t>
      </w:r>
    </w:p>
    <w:p>
      <w:pPr>
        <w:numPr>
          <w:ilvl w:val="0"/>
          <w:numId w:val="1002"/>
        </w:numPr>
        <w:pStyle w:val="Compact"/>
      </w:pPr>
      <w:r>
        <w:rPr>
          <w:bCs/>
          <w:b/>
        </w:rPr>
        <w:t xml:space="preserve">Dentist Surveys:</w:t>
      </w:r>
      <w:r>
        <w:t xml:space="preserve"> </w:t>
      </w:r>
      <w:r>
        <w:t xml:space="preserve">Administering standardized questionnaires to 500 registered dentists across Bogotá’s public/private sectors (response rate target: 70%) focusing on workload, resource access, and practice barriers.</w:t>
      </w:r>
    </w:p>
    <w:bookmarkEnd w:id="23"/>
    <w:bookmarkStart w:id="24" w:name="X0f982fa6c272edf362b96f3de8292111ffac087"/>
    <w:p>
      <w:pPr>
        <w:pStyle w:val="Heading3"/>
      </w:pPr>
      <w:r>
        <w:t xml:space="preserve">Phase 2: Qualitative Exploration (Months 5-10)</w:t>
      </w:r>
    </w:p>
    <w:p>
      <w:pPr>
        <w:numPr>
          <w:ilvl w:val="0"/>
          <w:numId w:val="1003"/>
        </w:numPr>
        <w:pStyle w:val="Compact"/>
      </w:pPr>
      <w:r>
        <w:rPr>
          <w:bCs/>
          <w:b/>
        </w:rPr>
        <w:t xml:space="preserve">Focus Groups:</w:t>
      </w:r>
      <w:r>
        <w:t xml:space="preserve"> </w:t>
      </w:r>
      <w:r>
        <w:t xml:space="preserve">Conducting 12 moderated sessions with dentist professionals (n=96) from high/low-access neighborhoods to explore systemic pain points.</w:t>
      </w:r>
    </w:p>
    <w:p>
      <w:pPr>
        <w:numPr>
          <w:ilvl w:val="0"/>
          <w:numId w:val="1003"/>
        </w:numPr>
        <w:pStyle w:val="Compact"/>
      </w:pPr>
      <w:r>
        <w:rPr>
          <w:bCs/>
          <w:b/>
        </w:rPr>
        <w:t xml:space="preserve">Key Informant Interviews:</w:t>
      </w:r>
      <w:r>
        <w:t xml:space="preserve"> </w:t>
      </w:r>
      <w:r>
        <w:t xml:space="preserve">Engaging 25 policymakers, health managers (e.g., *Instituto de Salud Pública*), and community leaders to contextualize findings within Colombia Bogotá’s policy landscape.</w:t>
      </w:r>
    </w:p>
    <w:bookmarkEnd w:id="24"/>
    <w:bookmarkStart w:id="25" w:name="Xaeb0adb30d29d60b9454f7b00cd0d4b2ef91ce1"/>
    <w:p>
      <w:pPr>
        <w:pStyle w:val="Heading3"/>
      </w:pPr>
      <w:r>
        <w:t xml:space="preserve">Phase 3: Intervention Co-Design (Months 11-15)</w:t>
      </w:r>
    </w:p>
    <w:p>
      <w:pPr>
        <w:numPr>
          <w:ilvl w:val="0"/>
          <w:numId w:val="1004"/>
        </w:numPr>
        <w:pStyle w:val="Compact"/>
      </w:pPr>
      <w:r>
        <w:rPr>
          <w:bCs/>
          <w:b/>
        </w:rPr>
        <w:t xml:space="preserve">Stakeholder Workshops:</w:t>
      </w:r>
      <w:r>
        <w:t xml:space="preserve"> </w:t>
      </w:r>
      <w:r>
        <w:t xml:space="preserve">Facilitating collaborative sessions to prototype solutions (e.g., mobile dental units for underserved zones, tele-dentistry integration) with active dentist participation.</w:t>
      </w:r>
    </w:p>
    <w:p>
      <w:pPr>
        <w:numPr>
          <w:ilvl w:val="0"/>
          <w:numId w:val="1004"/>
        </w:numPr>
        <w:pStyle w:val="Compact"/>
      </w:pPr>
      <w:r>
        <w:rPr>
          <w:bCs/>
          <w:b/>
        </w:rPr>
        <w:t xml:space="preserve">Pilot Testing:</w:t>
      </w:r>
      <w:r>
        <w:t xml:space="preserve"> </w:t>
      </w:r>
      <w:r>
        <w:t xml:space="preserve">Implementing 2-3 interventions in selected *zona de salud* areas, measuring impact via patient wait times and satisfaction scores.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5"/>
        </w:numPr>
        <w:pStyle w:val="Compact"/>
      </w:pPr>
      <w:r>
        <w:rPr>
          <w:bCs/>
          <w:b/>
        </w:rPr>
        <w:t xml:space="preserve">Systemic Diagnostic Report:</w:t>
      </w:r>
      <w:r>
        <w:t xml:space="preserve"> </w:t>
      </w:r>
      <w:r>
        <w:t xml:space="preserve">A granular atlas of dental service gaps in Colombia Bogotá, identifying "hotspots" where dentist deployment is most urgently needed. This will inform the District Health Secretariat’s 2025-2030 oral health strategy.</w:t>
      </w:r>
    </w:p>
    <w:p>
      <w:pPr>
        <w:numPr>
          <w:ilvl w:val="0"/>
          <w:numId w:val="1005"/>
        </w:numPr>
        <w:pStyle w:val="Compact"/>
      </w:pPr>
      <w:r>
        <w:rPr>
          <w:bCs/>
          <w:b/>
        </w:rPr>
        <w:t xml:space="preserve">Dentist-Centric Policy Framework:</w:t>
      </w:r>
      <w:r>
        <w:t xml:space="preserve"> </w:t>
      </w:r>
      <w:r>
        <w:t xml:space="preserve">Evidence-based recommendations addressing key barriers—such as streamlined licensing for rural rotations, competitive public-sector salaries, and digital infrastructure—to retain dental professionals in urban settings.</w:t>
      </w:r>
    </w:p>
    <w:p>
      <w:pPr>
        <w:numPr>
          <w:ilvl w:val="0"/>
          <w:numId w:val="1005"/>
        </w:numPr>
        <w:pStyle w:val="Compact"/>
      </w:pPr>
      <w:r>
        <w:rPr>
          <w:bCs/>
          <w:b/>
        </w:rPr>
        <w:t xml:space="preserve">Scalable Urban Model:</w:t>
      </w:r>
      <w:r>
        <w:t xml:space="preserve"> </w:t>
      </w:r>
      <w:r>
        <w:t xml:space="preserve">A validated intervention package (e.g., "Dental Hub Network") adaptable to other Colombian cities like Medellín or Cali, with potential for replication across Latin America.</w:t>
      </w:r>
    </w:p>
    <w:p>
      <w:pPr>
        <w:pStyle w:val="FirstParagraph"/>
      </w:pPr>
      <w:r>
        <w:t xml:space="preserve">The significance extends beyond Bogotá. By centering the dentist’s perspective—a profession often excluded from health policy dialogues—this research challenges the prevailing "patient-centric" paradigm. In Colombia Bogotá, where 70% of dentists work in private clinics serving only 25% of the population (National Survey, 2021), shifting focus to professional capacity will drive equitable system reform. Crucially, this aligns with Colombia’s *Agenda Nacional de Salud Oral* (2030), which prioritizes "integrated dental care within universal health coverage."</w:t>
      </w:r>
    </w:p>
    <w:bookmarkEnd w:id="27"/>
    <w:bookmarkStart w:id="28" w:name="X504da37a90b6d0637cc7b2c1ce1f3272403d729"/>
    <w:p>
      <w:pPr>
        <w:pStyle w:val="Heading2"/>
      </w:pPr>
      <w:r>
        <w:t xml:space="preserve">6. Ethical Considerations and Community Engagement</w:t>
      </w:r>
    </w:p>
    <w:p>
      <w:pPr>
        <w:pStyle w:val="FirstParagraph"/>
      </w:pPr>
      <w:r>
        <w:t xml:space="preserve">All data collection will adhere to Colombian National Bioethics Committee standards (Resolution 8430, 2018). Participants—especially low-income patients and dentists from marginalized districts—will receive anonymized feedback reports. The study actively partners with *Colegio Colombiano de Cirujanos Dentistas* (CCD), ensuring dentist-led validation of findings. Community advisory boards in Bogotá’s communes (e.g., Kennedy, Bosa) will co-govern data use, embedding local ownership from inception to dissemination.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Mapping &amp; Survey Design</w:t>
            </w:r>
          </w:p>
        </w:tc>
        <w:tc>
          <w:tcPr/>
          <w:p>
            <w:pPr>
              <w:pStyle w:val="Compact"/>
              <w:jc w:val="left"/>
            </w:pPr>
            <w:r>
              <w:t xml:space="preserve">Months 1-2</w:t>
            </w:r>
          </w:p>
        </w:tc>
        <w:tc>
          <w:tcPr/>
          <w:p>
            <w:pPr>
              <w:pStyle w:val="Compact"/>
              <w:jc w:val="left"/>
            </w:pPr>
            <w:r>
              <w:t xml:space="preserve">Data collection protocols; GIS service map draft</w:t>
            </w:r>
          </w:p>
        </w:tc>
      </w:tr>
      <w:tr>
        <w:tc>
          <w:tcPr/>
          <w:p>
            <w:pPr>
              <w:pStyle w:val="Compact"/>
              <w:jc w:val="left"/>
            </w:pPr>
            <w:r>
              <w:t xml:space="preserve">Dentist &amp; Patient Data Collection</w:t>
            </w:r>
          </w:p>
        </w:tc>
        <w:tc>
          <w:tcPr/>
          <w:p>
            <w:pPr>
              <w:pStyle w:val="Compact"/>
              <w:jc w:val="left"/>
            </w:pPr>
            <w:r>
              <w:t xml:space="preserve">Months 3-8</w:t>
            </w:r>
          </w:p>
        </w:tc>
        <w:tc>
          <w:tcPr/>
          <w:p>
            <w:pPr>
              <w:pStyle w:val="Compact"/>
              <w:jc w:val="left"/>
            </w:pPr>
            <w:r>
              <w:t xml:space="preserve">Survey datasets; Focus group transcripts</w:t>
            </w:r>
          </w:p>
        </w:tc>
      </w:tr>
      <w:tr>
        <w:tc>
          <w:tcPr/>
          <w:p>
            <w:pPr>
              <w:pStyle w:val="Compact"/>
              <w:jc w:val="left"/>
            </w:pPr>
            <w:r>
              <w:t xml:space="preserve">Analysis &amp; Co-Design Workshops</w:t>
            </w:r>
          </w:p>
        </w:tc>
        <w:tc>
          <w:tcPr/>
          <w:p>
            <w:pPr>
              <w:pStyle w:val="Compact"/>
              <w:jc w:val="left"/>
            </w:pPr>
            <w:r>
              <w:t xml:space="preserve">Months 9-12</w:t>
            </w:r>
          </w:p>
        </w:tc>
        <w:tc>
          <w:tcPr/>
          <w:p>
            <w:pPr>
              <w:pStyle w:val="Compact"/>
              <w:jc w:val="left"/>
            </w:pPr>
            <w:r>
              <w:t xml:space="preserve">Preliminary report; Intervention prototypes</w:t>
            </w:r>
          </w:p>
        </w:tc>
      </w:tr>
      <w:tr>
        <w:tc>
          <w:tcPr/>
          <w:p>
            <w:pPr>
              <w:pStyle w:val="Compact"/>
              <w:jc w:val="left"/>
            </w:pPr>
            <w:r>
              <w:t xml:space="preserve">Pilot Implementation &amp; Final Report</w:t>
            </w:r>
          </w:p>
        </w:tc>
        <w:tc>
          <w:tcPr/>
          <w:p>
            <w:pPr>
              <w:pStyle w:val="Compact"/>
              <w:jc w:val="left"/>
            </w:pPr>
            <w:r>
              <w:t xml:space="preserve">Months 13-15</w:t>
            </w:r>
          </w:p>
        </w:tc>
        <w:tc>
          <w:tcPr/>
          <w:p>
            <w:pPr>
              <w:pStyle w:val="Compact"/>
              <w:jc w:val="left"/>
            </w:pPr>
            <w:r>
              <w:t xml:space="preserve">Final policy brief; Scalability roadmap for Colombia Bogotá</w:t>
            </w:r>
          </w:p>
        </w:tc>
      </w:tr>
    </w:tbl>
    <w:bookmarkEnd w:id="29"/>
    <w:bookmarkStart w:id="30" w:name="X7ed32c5982242e6f1ce650af23caa881b733765"/>
    <w:p>
      <w:pPr>
        <w:pStyle w:val="Heading2"/>
      </w:pPr>
      <w:r>
        <w:t xml:space="preserve">8. Conclusion: A Catalyst for Change in Colombia Bogotá</w:t>
      </w:r>
    </w:p>
    <w:p>
      <w:pPr>
        <w:pStyle w:val="FirstParagraph"/>
      </w:pPr>
      <w:r>
        <w:t xml:space="preserve">The proposed research transcends academic inquiry to become a catalyst for systemic change in dental care delivery across Colombia Bogotá. By placing the dentist at the heart of our analysis—from their daily operational challenges to their policy aspirations—we move beyond superficial diagnoses of access barriers. This</w:t>
      </w:r>
      <w:r>
        <w:t xml:space="preserve"> </w:t>
      </w:r>
      <w:r>
        <w:rPr>
          <w:iCs/>
          <w:i/>
        </w:rPr>
        <w:t xml:space="preserve">Research Proposal</w:t>
      </w:r>
      <w:r>
        <w:t xml:space="preserve"> </w:t>
      </w:r>
      <w:r>
        <w:t xml:space="preserve">directly responds to Colombia’s national health imperatives while offering a blueprint for urban dental equity that could redefine healthcare models globally. With Bogotá serving as Latin America’s laboratory for complex public health innovation, this study promises not only to improve the lives of millions but also to elevate the dignity and efficacy of the dentist profession within Colombia's healthcare ecosystem. The time for evidence-based transformation is now.</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in Colombia Bogotá</dc:title>
  <dc:creator/>
  <dc:language>en</dc:language>
  <cp:keywords/>
  <dcterms:created xsi:type="dcterms:W3CDTF">2026-07-23T08:54:31Z</dcterms:created>
  <dcterms:modified xsi:type="dcterms:W3CDTF">2026-07-23T08:54:31Z</dcterms:modified>
</cp:coreProperties>
</file>

<file path=docProps/custom.xml><?xml version="1.0" encoding="utf-8"?>
<Properties xmlns="http://schemas.openxmlformats.org/officeDocument/2006/custom-properties" xmlns:vt="http://schemas.openxmlformats.org/officeDocument/2006/docPropsVTypes"/>
</file>