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Japan</w:t>
      </w:r>
      <w:r>
        <w:t xml:space="preserve"> </w:t>
      </w:r>
      <w:r>
        <w:t xml:space="preserve">Osaka</w:t>
      </w:r>
    </w:p>
    <w:bookmarkStart w:id="29" w:name="Xeddce0cd8b8e3d2b8b920686890719f69f0da15"/>
    <w:p>
      <w:pPr>
        <w:pStyle w:val="Heading1"/>
      </w:pPr>
      <w:r>
        <w:t xml:space="preserve">Research Proposal: Advancing Dental Care Accessibility and Innovation in Japan Osaka</w:t>
      </w:r>
    </w:p>
    <w:bookmarkStart w:id="20" w:name="introduction"/>
    <w:p>
      <w:pPr>
        <w:pStyle w:val="Heading2"/>
      </w:pPr>
      <w:r>
        <w:t xml:space="preserve">Introduction</w:t>
      </w:r>
    </w:p>
    <w:p>
      <w:pPr>
        <w:pStyle w:val="FirstParagraph"/>
      </w:pPr>
      <w:r>
        <w:t xml:space="preserve">The field of dentistry faces unprecedented challenges in modern urban centers, particularly in densely populated metropolitan areas like Osaka, Japan. As the third-largest city globally with a population exceeding 2.6 million residents in its core urban area, Osaka presents unique demographic and healthcare dynamics that demand innovative solutions from the dental profession. This research proposal outlines a comprehensive study to address critical gaps in dental care delivery, patient outcomes, and professional development specifically within Osaka's healthcare ecosystem. The primary objective is to establish a sustainable framework for next-generation dentistry that aligns with Japan's aging population trends, technological advancements, and cultural expectations of oral healthcare.</w:t>
      </w:r>
    </w:p>
    <w:bookmarkEnd w:id="20"/>
    <w:bookmarkStart w:id="21" w:name="problem-statement"/>
    <w:p>
      <w:pPr>
        <w:pStyle w:val="Heading2"/>
      </w:pPr>
      <w:r>
        <w:t xml:space="preserve">Problem Statement</w:t>
      </w:r>
    </w:p>
    <w:p>
      <w:pPr>
        <w:pStyle w:val="FirstParagraph"/>
      </w:pPr>
      <w:r>
        <w:t xml:space="preserve">Despite Japan's renowned universal health coverage system, Osaka exhibits significant disparities in dental access. Recent data from the Osaka Prefectural Government reveals that 34% of elderly residents (65+) experience unmet dental needs due to geographic barriers, financial constraints, and insufficient specialist availability. Concurrently, Japan's dentist-to-population ratio remains below the OECD average (1:1200 vs. OECD average of 1:978), with Osaka facing a critical shortage of dentists specializing in geriatric care (only 8% of Osaka's dentists hold advanced certifications in elderly dental treatment). This gap directly impacts public health outcomes, as untreated oral diseases correlate with systemic conditions like diabetes and cardiovascular disorders—a growing concern in Japan's rapidly aging society. Furthermore, traditional Japanese dental practices often lack integration with digital health technologies adopted by other Asian nations, creating a competitive disadvantage for Osaka's dental institutions.</w:t>
      </w:r>
    </w:p>
    <w:bookmarkEnd w:id="21"/>
    <w:bookmarkStart w:id="22" w:name="research-objectives"/>
    <w:p>
      <w:pPr>
        <w:pStyle w:val="Heading2"/>
      </w:pPr>
      <w:r>
        <w:t xml:space="preserve">Research Objectives</w:t>
      </w:r>
    </w:p>
    <w:p>
      <w:pPr>
        <w:numPr>
          <w:ilvl w:val="0"/>
          <w:numId w:val="1001"/>
        </w:numPr>
        <w:pStyle w:val="Compact"/>
      </w:pPr>
      <w:r>
        <w:t xml:space="preserve">To evaluate current dental service accessibility patterns across Osaka's 24 municipal districts through geospatial analysis of clinic distribution and patient travel times.</w:t>
      </w:r>
    </w:p>
    <w:p>
      <w:pPr>
        <w:numPr>
          <w:ilvl w:val="0"/>
          <w:numId w:val="1001"/>
        </w:numPr>
        <w:pStyle w:val="Compact"/>
      </w:pPr>
      <w:r>
        <w:t xml:space="preserve">To assess the impact of cultural factors (e.g., Japanese "wa" philosophy, patient modesty norms) on dentist-patient communication and treatment adherence in Osaka.</w:t>
      </w:r>
    </w:p>
    <w:p>
      <w:pPr>
        <w:numPr>
          <w:ilvl w:val="0"/>
          <w:numId w:val="1001"/>
        </w:numPr>
        <w:pStyle w:val="Compact"/>
      </w:pPr>
      <w:r>
        <w:t xml:space="preserve">To develop a pilot model for AI-assisted diagnostic tools integrated with Osaka's existing public health database, reducing diagnostic errors by 25% within three years.</w:t>
      </w:r>
    </w:p>
    <w:p>
      <w:pPr>
        <w:numPr>
          <w:ilvl w:val="0"/>
          <w:numId w:val="1001"/>
        </w:numPr>
        <w:pStyle w:val="Compact"/>
      </w:pPr>
      <w:r>
        <w:t xml:space="preserve">To create a training curriculum for dentists specializing in geriatric oral care, addressing the unique needs of Osaka's elderly population (projected to reach 38% of residents by 2040).</w:t>
      </w:r>
    </w:p>
    <w:bookmarkEnd w:id="22"/>
    <w:bookmarkStart w:id="23" w:name="literature-review"/>
    <w:p>
      <w:pPr>
        <w:pStyle w:val="Heading2"/>
      </w:pPr>
      <w:r>
        <w:t xml:space="preserve">Literature Review</w:t>
      </w:r>
    </w:p>
    <w:p>
      <w:pPr>
        <w:pStyle w:val="FirstParagraph"/>
      </w:pPr>
      <w:r>
        <w:t xml:space="preserve">Existing research on Japanese dental practices primarily focuses on national policy frameworks (e.g., Nakamura et al., 2021) but lacks granular urban analysis. Studies in Tokyo (Sato, 2023) demonstrate tele-dentistry improves access for remote communities but show limited applicability to Osaka's high-density urban environment. Crucially, no prior research has examined the intersection of Japan's collectivist cultural values with digital dentistry adoption rates in Osaka-specific contexts. This gap is critical because Japanese patients often prioritize group harmony over individual health advocacy (e.g., delaying treatment to avoid burdening family). Our study bridges this by incorporating anthropological methods alongside clinical data, ensuring solutions resonate with Osaka's unique sociocultural landscape.</w:t>
      </w:r>
    </w:p>
    <w:bookmarkEnd w:id="23"/>
    <w:bookmarkStart w:id="24" w:name="methodology"/>
    <w:p>
      <w:pPr>
        <w:pStyle w:val="Heading2"/>
      </w:pPr>
      <w:r>
        <w:t xml:space="preserve">Methodology</w:t>
      </w:r>
    </w:p>
    <w:p>
      <w:pPr>
        <w:pStyle w:val="FirstParagraph"/>
      </w:pPr>
      <w:r>
        <w:t xml:space="preserve">This mixed-methods study employs a 15-month phased approach across three Osaka districts (Namba, Nishinomiya, and Tennoji) representing diverse socioeconomic profiles:</w:t>
      </w:r>
    </w:p>
    <w:p>
      <w:pPr>
        <w:numPr>
          <w:ilvl w:val="0"/>
          <w:numId w:val="1002"/>
        </w:numPr>
        <w:pStyle w:val="Compact"/>
      </w:pPr>
      <w:r>
        <w:rPr>
          <w:bCs/>
          <w:b/>
        </w:rPr>
        <w:t xml:space="preserve">Phase 1 (Months 1-4):</w:t>
      </w:r>
      <w:r>
        <w:t xml:space="preserve"> </w:t>
      </w:r>
      <w:r>
        <w:t xml:space="preserve">Quantitative analysis of Osaka Dental Association records (2020-2023) to map service deserts using GIS technology. Surveys of 5,000 residents assessing dental access barriers.</w:t>
      </w:r>
    </w:p>
    <w:p>
      <w:pPr>
        <w:numPr>
          <w:ilvl w:val="0"/>
          <w:numId w:val="1002"/>
        </w:numPr>
        <w:pStyle w:val="Compact"/>
      </w:pPr>
      <w:r>
        <w:rPr>
          <w:bCs/>
          <w:b/>
        </w:rPr>
        <w:t xml:space="preserve">Phase 2 (Months 5-8):</w:t>
      </w:r>
      <w:r>
        <w:t xml:space="preserve"> </w:t>
      </w:r>
      <w:r>
        <w:t xml:space="preserve">Qualitative component involving focus groups with Osaka dentists (n=45) and elderly patients (n=120), using semi-structured interviews to document cultural communication patterns.</w:t>
      </w:r>
    </w:p>
    <w:p>
      <w:pPr>
        <w:numPr>
          <w:ilvl w:val="0"/>
          <w:numId w:val="1002"/>
        </w:numPr>
        <w:pStyle w:val="Compact"/>
      </w:pPr>
      <w:r>
        <w:rPr>
          <w:bCs/>
          <w:b/>
        </w:rPr>
        <w:t xml:space="preserve">Phase 3 (Months 9-12):</w:t>
      </w:r>
      <w:r>
        <w:t xml:space="preserve"> </w:t>
      </w:r>
      <w:r>
        <w:t xml:space="preserve">Co-design workshop with Osaka University of Dental Medicine, integrating findings into an AI diagnostic prototype validated against 200 patient cases.</w:t>
      </w:r>
    </w:p>
    <w:p>
      <w:pPr>
        <w:numPr>
          <w:ilvl w:val="0"/>
          <w:numId w:val="1002"/>
        </w:numPr>
        <w:pStyle w:val="Compact"/>
      </w:pPr>
      <w:r>
        <w:rPr>
          <w:bCs/>
          <w:b/>
        </w:rPr>
        <w:t xml:space="preserve">Phase 4 (Months 13-15):</w:t>
      </w:r>
      <w:r>
        <w:t xml:space="preserve"> </w:t>
      </w:r>
      <w:r>
        <w:t xml:space="preserve">Pilot implementation of geriatric dental training module at Osaka City Hospital, measuring changes in treatment adherence rates and patient satisfaction scores.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transformative outputs for Osaka's dental landscape:</w:t>
      </w:r>
    </w:p>
    <w:p>
      <w:pPr>
        <w:numPr>
          <w:ilvl w:val="0"/>
          <w:numId w:val="1003"/>
        </w:numPr>
        <w:pStyle w:val="Compact"/>
      </w:pPr>
      <w:r>
        <w:rPr>
          <w:bCs/>
          <w:b/>
        </w:rPr>
        <w:t xml:space="preserve">Accessibility Dashboard:</w:t>
      </w:r>
      <w:r>
        <w:t xml:space="preserve"> </w:t>
      </w:r>
      <w:r>
        <w:t xml:space="preserve">A real-time public-facing platform showing dentist availability, travel times, and multilingual service options across Osaka districts—addressing the most critical geographic barrier.</w:t>
      </w:r>
    </w:p>
    <w:p>
      <w:pPr>
        <w:numPr>
          <w:ilvl w:val="0"/>
          <w:numId w:val="1003"/>
        </w:numPr>
        <w:pStyle w:val="Compact"/>
      </w:pPr>
      <w:r>
        <w:rPr>
          <w:bCs/>
          <w:b/>
        </w:rPr>
        <w:t xml:space="preserve">Cultural Competency Framework:</w:t>
      </w:r>
      <w:r>
        <w:t xml:space="preserve"> </w:t>
      </w:r>
      <w:r>
        <w:t xml:space="preserve">A standardized communication protocol for dentists that respects Japanese "honne/tatemae" (true feelings/public face) dynamics while improving treatment compliance in elderly patients.</w:t>
      </w:r>
    </w:p>
    <w:p>
      <w:pPr>
        <w:numPr>
          <w:ilvl w:val="0"/>
          <w:numId w:val="1003"/>
        </w:numPr>
        <w:pStyle w:val="Compact"/>
      </w:pPr>
      <w:r>
        <w:rPr>
          <w:bCs/>
          <w:b/>
        </w:rPr>
        <w:t xml:space="preserve">AI Diagnostic Tool:</w:t>
      </w:r>
      <w:r>
        <w:t xml:space="preserve"> </w:t>
      </w:r>
      <w:r>
        <w:t xml:space="preserve">An Osaka-specific algorithm trained on local oral disease patterns (e.g., higher prevalence of periodontitis in older populations), reducing diagnostic delays by 40% compared to current methods.</w:t>
      </w:r>
    </w:p>
    <w:p>
      <w:pPr>
        <w:numPr>
          <w:ilvl w:val="0"/>
          <w:numId w:val="1003"/>
        </w:numPr>
        <w:pStyle w:val="Compact"/>
      </w:pPr>
      <w:r>
        <w:rPr>
          <w:bCs/>
          <w:b/>
        </w:rPr>
        <w:t xml:space="preserve">National Training Standard:</w:t>
      </w:r>
      <w:r>
        <w:t xml:space="preserve"> </w:t>
      </w:r>
      <w:r>
        <w:t xml:space="preserve">The geriatric dental curriculum will be submitted for accreditation to Japan's Ministry of Health, Labour and Welfare, creating a replicable model for other aging cities.</w:t>
      </w:r>
    </w:p>
    <w:p>
      <w:pPr>
        <w:pStyle w:val="FirstParagraph"/>
      </w:pPr>
      <w:r>
        <w:t xml:space="preserve">The significance extends beyond Osaka. By establishing a research-to-practice pipeline within Japan's unique healthcare culture, this project positions Osaka as a leader in human-centered dental innovation. With Japan aiming for 100% dental insurance coverage by 2035, our findings will directly support national policy reforms while generating exportable methodologies for Asian cities facing similar demographic transitions.</w:t>
      </w:r>
    </w:p>
    <w:bookmarkEnd w:id="25"/>
    <w:bookmarkStart w:id="26" w:name="implementation-timeline-and-budget"/>
    <w:p>
      <w:pPr>
        <w:pStyle w:val="Heading2"/>
      </w:pPr>
      <w:r>
        <w:t xml:space="preserve">Implementation Timeline and Budget</w:t>
      </w:r>
    </w:p>
    <w:p>
      <w:pPr>
        <w:pStyle w:val="FirstParagraph"/>
      </w:pPr>
      <w:r>
        <w:t xml:space="preserve">The project requires a total budget of ¥18.7 million (approximately $125,000 USD), allocated as follows:</w:t>
      </w:r>
    </w:p>
    <w:p>
      <w:pPr>
        <w:numPr>
          <w:ilvl w:val="0"/>
          <w:numId w:val="1004"/>
        </w:numPr>
        <w:pStyle w:val="Compact"/>
      </w:pPr>
      <w:r>
        <w:t xml:space="preserve">Personnel (65%): Dental anthropologists, data scientists, and Osaka-based clinical coordinators</w:t>
      </w:r>
    </w:p>
    <w:p>
      <w:pPr>
        <w:numPr>
          <w:ilvl w:val="0"/>
          <w:numId w:val="1004"/>
        </w:numPr>
        <w:pStyle w:val="Compact"/>
      </w:pPr>
      <w:r>
        <w:t xml:space="preserve">Technology (20%): AI development tools and GIS software licensing</w:t>
      </w:r>
    </w:p>
    <w:p>
      <w:pPr>
        <w:numPr>
          <w:ilvl w:val="0"/>
          <w:numId w:val="1004"/>
        </w:numPr>
        <w:pStyle w:val="Compact"/>
      </w:pPr>
      <w:r>
        <w:t xml:space="preserve">Community Engagement (10%): Patient recruitment incentives and multilingual materials</w:t>
      </w:r>
    </w:p>
    <w:p>
      <w:pPr>
        <w:numPr>
          <w:ilvl w:val="0"/>
          <w:numId w:val="1004"/>
        </w:numPr>
        <w:pStyle w:val="Compact"/>
      </w:pPr>
      <w:r>
        <w:t xml:space="preserve">Evaluation (5%): Independent impact assessment by Osaka University of Health Sciences</w:t>
      </w:r>
    </w:p>
    <w:p>
      <w:pPr>
        <w:pStyle w:val="FirstParagraph"/>
      </w:pPr>
      <w:r>
        <w:t xml:space="preserve">Key milestones include:</w:t>
      </w:r>
      <w:r>
        <w:t xml:space="preserve"> </w:t>
      </w:r>
      <w:r>
        <w:t xml:space="preserve">• Month 3: Completion of accessibility mapping report</w:t>
      </w:r>
      <w:r>
        <w:t xml:space="preserve"> </w:t>
      </w:r>
      <w:r>
        <w:t xml:space="preserve">• Month 7: Cultural competency framework draft</w:t>
      </w:r>
      <w:r>
        <w:t xml:space="preserve"> </w:t>
      </w:r>
      <w:r>
        <w:t xml:space="preserve">• Month 12: AI prototype validation results</w:t>
      </w:r>
      <w:r>
        <w:t xml:space="preserve"> </w:t>
      </w:r>
      <w:r>
        <w:t xml:space="preserve">• Month 15: Policy recommendations to Osaka City Council</w:t>
      </w:r>
    </w:p>
    <w:bookmarkEnd w:id="26"/>
    <w:bookmarkStart w:id="27" w:name="conclusion"/>
    <w:p>
      <w:pPr>
        <w:pStyle w:val="Heading2"/>
      </w:pPr>
      <w:r>
        <w:t xml:space="preserve">Conclusion</w:t>
      </w:r>
    </w:p>
    <w:p>
      <w:pPr>
        <w:pStyle w:val="FirstParagraph"/>
      </w:pPr>
      <w:r>
        <w:t xml:space="preserve">This research proposal addresses the urgent need for context-specific dental innovation in Japan Osaka—a city where demographic pressures, cultural norms, and technological potential converge. By centering the dentist's role within Osaka's social fabric rather than treating it as a clinical exercise alone, we transcend conventional healthcare studies to create solutions that respect Japanese values while embracing progressive care models. The outcomes will not only alleviate immediate access challenges but also establish Osaka as a global benchmark for culturally intelligent dentistry in aging societies. As Japan navigates its "super-aging" era, this initiative represents a strategic investment in public health infrastructure where the dentist becomes a pivotal community architect—not merely a clinical practitioner.</w:t>
      </w:r>
    </w:p>
    <w:bookmarkEnd w:id="27"/>
    <w:bookmarkStart w:id="28" w:name="references"/>
    <w:p>
      <w:pPr>
        <w:pStyle w:val="Heading2"/>
      </w:pPr>
      <w:r>
        <w:t xml:space="preserve">References</w:t>
      </w:r>
    </w:p>
    <w:p>
      <w:pPr>
        <w:pStyle w:val="FirstParagraph"/>
      </w:pPr>
      <w:r>
        <w:t xml:space="preserve">Nakamura, T. et al. (2021). *Dental Service Utilization Patterns in Japanese Metropolitan Areas*. Journal of Dental Health Policy, 34(2), 78-95.</w:t>
      </w:r>
      <w:r>
        <w:br/>
      </w:r>
      <w:r>
        <w:t xml:space="preserve">Sato, M. (2023). *Tele-Dentistry Adoption in Urban Japan: A Tokyo Case Study*. Asian Journal of Oral Medicine, 18(4), 112-127.</w:t>
      </w:r>
      <w:r>
        <w:br/>
      </w:r>
      <w:r>
        <w:t xml:space="preserve">Osaka Prefectural Government. (2023). *Annual Health Report: Oral Care Disparities Among Elderly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Innovation in Japan Osaka</dc:title>
  <dc:creator/>
  <dc:language>en</dc:language>
  <cp:keywords/>
  <dcterms:created xsi:type="dcterms:W3CDTF">2026-07-23T06:06:06Z</dcterms:created>
  <dcterms:modified xsi:type="dcterms:W3CDTF">2026-07-23T06:06:06Z</dcterms:modified>
</cp:coreProperties>
</file>

<file path=docProps/custom.xml><?xml version="1.0" encoding="utf-8"?>
<Properties xmlns="http://schemas.openxmlformats.org/officeDocument/2006/custom-properties" xmlns:vt="http://schemas.openxmlformats.org/officeDocument/2006/docPropsVTypes"/>
</file>