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for</w:t>
      </w:r>
      <w:r>
        <w:t xml:space="preserve"> </w:t>
      </w:r>
      <w:r>
        <w:t xml:space="preserve">Dentists</w:t>
      </w:r>
      <w:r>
        <w:t xml:space="preserve"> </w:t>
      </w:r>
      <w:r>
        <w:t xml:space="preserve">in</w:t>
      </w:r>
      <w:r>
        <w:t xml:space="preserve"> </w:t>
      </w:r>
      <w:r>
        <w:t xml:space="preserve">Japan</w:t>
      </w:r>
      <w:r>
        <w:t xml:space="preserve"> </w:t>
      </w:r>
      <w:r>
        <w:t xml:space="preserve">Tokyo</w:t>
      </w:r>
    </w:p>
    <w:bookmarkStart w:id="30" w:name="X1332c7bbf109842399c9340a3fe73d22aa07155"/>
    <w:p>
      <w:pPr>
        <w:pStyle w:val="Heading1"/>
      </w:pPr>
      <w:r>
        <w:t xml:space="preserve">Research Proposal: Optimizing Dental Workforce Distribution and Patient Access in Urban Japan Tokyo Context</w:t>
      </w:r>
    </w:p>
    <w:bookmarkStart w:id="20" w:name="i.-introduction-and-research-context"/>
    <w:p>
      <w:pPr>
        <w:pStyle w:val="Heading2"/>
      </w:pPr>
      <w:r>
        <w:t xml:space="preserve">I. Introduction and Research Context</w:t>
      </w:r>
    </w:p>
    <w:p>
      <w:pPr>
        <w:pStyle w:val="FirstParagraph"/>
      </w:pPr>
      <w:r>
        <w:t xml:space="preserve">The dental healthcare landscape in Japan Tokyo represents a critical nexus of advanced medical infrastructure, aging demographics, and evolving patient expectations. As the world's most populous metropolitan area with over 37 million residents, Tokyo faces unique challenges in ensuring equitable access to quality dental services. This</w:t>
      </w:r>
      <w:r>
        <w:t xml:space="preserve"> </w:t>
      </w:r>
      <w:r>
        <w:rPr>
          <w:bCs/>
          <w:b/>
        </w:rPr>
        <w:t xml:space="preserve">Research Proposal</w:t>
      </w:r>
      <w:r>
        <w:t xml:space="preserve"> </w:t>
      </w:r>
      <w:r>
        <w:t xml:space="preserve">directly addresses the systemic gaps within the</w:t>
      </w:r>
      <w:r>
        <w:t xml:space="preserve"> </w:t>
      </w:r>
      <w:r>
        <w:rPr>
          <w:bCs/>
          <w:b/>
        </w:rPr>
        <w:t xml:space="preserve">Dentist</w:t>
      </w:r>
      <w:r>
        <w:t xml:space="preserve"> </w:t>
      </w:r>
      <w:r>
        <w:t xml:space="preserve">workforce distribution and service delivery models specific to</w:t>
      </w:r>
      <w:r>
        <w:t xml:space="preserve"> </w:t>
      </w:r>
      <w:r>
        <w:rPr>
          <w:bCs/>
          <w:b/>
        </w:rPr>
        <w:t xml:space="preserve">Japan Tokyo</w:t>
      </w:r>
      <w:r>
        <w:t xml:space="preserve">. Despite Japan's high overall healthcare standards, Tokyo exhibits a paradox: while dental facilities are abundant in central districts, underserved communities in outer wards and elderly populations face significant barriers. This study aims to generate actionable insights for policymakers and dental institutions to enhance the efficiency and equity of dental care across</w:t>
      </w:r>
      <w:r>
        <w:t xml:space="preserve"> </w:t>
      </w:r>
      <w:r>
        <w:rPr>
          <w:bCs/>
          <w:b/>
        </w:rPr>
        <w:t xml:space="preserve">Japan Tokyo</w:t>
      </w:r>
      <w:r>
        <w:t xml:space="preserve">.</w:t>
      </w:r>
    </w:p>
    <w:bookmarkEnd w:id="20"/>
    <w:bookmarkStart w:id="21" w:name="ii.-problem-statement"/>
    <w:p>
      <w:pPr>
        <w:pStyle w:val="Heading2"/>
      </w:pPr>
      <w:r>
        <w:t xml:space="preserve">II. Problem Statement</w:t>
      </w:r>
    </w:p>
    <w:p>
      <w:pPr>
        <w:pStyle w:val="FirstParagraph"/>
      </w:pPr>
      <w:r>
        <w:t xml:space="preserve">Current data from Japan's Ministry of Health, Labour and Welfare (MHLW) reveals a 15% vacancy rate among dental clinics in Tokyo's suburban municipalities, while central districts operate at near-full capacity. Crucially, this imbalance disproportionately affects Tokyo's rapidly aging population—65+ citizens constitute 28% of Tokyo’s residents (2023 census), a figure projected to exceed 30% by 2030. Elderly patients often face difficulties accessing</w:t>
      </w:r>
      <w:r>
        <w:t xml:space="preserve"> </w:t>
      </w:r>
      <w:r>
        <w:rPr>
          <w:bCs/>
          <w:b/>
        </w:rPr>
        <w:t xml:space="preserve">Dentist</w:t>
      </w:r>
      <w:r>
        <w:t xml:space="preserve"> </w:t>
      </w:r>
      <w:r>
        <w:t xml:space="preserve">services due to mobility issues, complex insurance navigation, and limited clinic hours. Simultaneously, new dental graduates in Tokyo report high stress from oversaturated urban markets and inadequate mentorship opportunities. This research directly confronts the urgent need to rebalance the</w:t>
      </w:r>
      <w:r>
        <w:t xml:space="preserve"> </w:t>
      </w:r>
      <w:r>
        <w:rPr>
          <w:bCs/>
          <w:b/>
        </w:rPr>
        <w:t xml:space="preserve">Dentist</w:t>
      </w:r>
      <w:r>
        <w:t xml:space="preserve"> </w:t>
      </w:r>
      <w:r>
        <w:t xml:space="preserve">workforce deployment within</w:t>
      </w:r>
      <w:r>
        <w:t xml:space="preserve"> </w:t>
      </w:r>
      <w:r>
        <w:rPr>
          <w:bCs/>
          <w:b/>
        </w:rPr>
        <w:t xml:space="preserve">Japan Tokyo</w:t>
      </w:r>
      <w:r>
        <w:t xml:space="preserve">, moving beyond mere numerical supply to strategic spatial and service model optimization.</w:t>
      </w:r>
    </w:p>
    <w:bookmarkEnd w:id="21"/>
    <w:bookmarkStart w:id="22" w:name="X94a6b35799782e66fdd7cd06c991f69ccce6c9f"/>
    <w:p>
      <w:pPr>
        <w:pStyle w:val="Heading2"/>
      </w:pPr>
      <w:r>
        <w:t xml:space="preserve">III. Literature Review: Gaps in Japan-Specific Dental Workforce Analysis</w:t>
      </w:r>
    </w:p>
    <w:p>
      <w:pPr>
        <w:pStyle w:val="FirstParagraph"/>
      </w:pPr>
      <w:r>
        <w:t xml:space="preserve">Existing studies (e.g., Tanaka et al., 2021 on urban-rural dental disparities; Sato, 2023 on aging population impacts) predominantly focus on national averages or rural regions, neglecting Tokyo’s hyper-urban dynamics. Crucially, no research has examined the interplay between Tokyo's unique municipal governance structure (e.g., ward-level health policies), dental insurance reimbursement rates under Japan's National Health Insurance (NHI), and real-time patient demand patterns. Furthermore, cultural nuances—such as Japanese patients' preference for long-term relationships with a single</w:t>
      </w:r>
      <w:r>
        <w:t xml:space="preserve"> </w:t>
      </w:r>
      <w:r>
        <w:rPr>
          <w:bCs/>
          <w:b/>
        </w:rPr>
        <w:t xml:space="preserve">Dentist</w:t>
      </w:r>
      <w:r>
        <w:t xml:space="preserve"> </w:t>
      </w:r>
      <w:r>
        <w:t xml:space="preserve">versus Western-style clinic turnover—remain underexplored in workforce planning. This</w:t>
      </w:r>
      <w:r>
        <w:t xml:space="preserve"> </w:t>
      </w:r>
      <w:r>
        <w:rPr>
          <w:bCs/>
          <w:b/>
        </w:rPr>
        <w:t xml:space="preserve">Research Proposal</w:t>
      </w:r>
      <w:r>
        <w:t xml:space="preserve"> </w:t>
      </w:r>
      <w:r>
        <w:t xml:space="preserve">fills this critical gap by centering Tokyo's complexity within the Japanese dental ecosystem.</w:t>
      </w:r>
    </w:p>
    <w:bookmarkEnd w:id="22"/>
    <w:bookmarkStart w:id="23" w:name="iv.-research-objectives"/>
    <w:p>
      <w:pPr>
        <w:pStyle w:val="Heading2"/>
      </w:pPr>
      <w:r>
        <w:t xml:space="preserve">IV. Research Objectives</w:t>
      </w:r>
    </w:p>
    <w:p>
      <w:pPr>
        <w:numPr>
          <w:ilvl w:val="0"/>
          <w:numId w:val="1001"/>
        </w:numPr>
        <w:pStyle w:val="Compact"/>
      </w:pPr>
      <w:r>
        <w:t xml:space="preserve">To map real-time patient demand patterns across all 23 Tokyo wards using NHI claims data (2019-2024), identifying underserved zones for dental services.</w:t>
      </w:r>
    </w:p>
    <w:p>
      <w:pPr>
        <w:numPr>
          <w:ilvl w:val="0"/>
          <w:numId w:val="1001"/>
        </w:numPr>
        <w:pStyle w:val="Compact"/>
      </w:pPr>
      <w:r>
        <w:t xml:space="preserve">To analyze the socio-economic and cultural factors influencing elderly access to a</w:t>
      </w:r>
      <w:r>
        <w:t xml:space="preserve"> </w:t>
      </w:r>
      <w:r>
        <w:rPr>
          <w:bCs/>
          <w:b/>
        </w:rPr>
        <w:t xml:space="preserve">Dentist</w:t>
      </w:r>
      <w:r>
        <w:t xml:space="preserve"> </w:t>
      </w:r>
      <w:r>
        <w:t xml:space="preserve">in Tokyo, including transportation barriers and insurance literacy.</w:t>
      </w:r>
    </w:p>
    <w:p>
      <w:pPr>
        <w:numPr>
          <w:ilvl w:val="0"/>
          <w:numId w:val="1001"/>
        </w:numPr>
        <w:pStyle w:val="Compact"/>
      </w:pPr>
      <w:r>
        <w:t xml:space="preserve">To evaluate the efficacy of existing dental workforce retention programs (e.g., Tokyo Metropolitan Government's "Dental Talent Support Initiative") for new graduate dentists.</w:t>
      </w:r>
    </w:p>
    <w:p>
      <w:pPr>
        <w:numPr>
          <w:ilvl w:val="0"/>
          <w:numId w:val="1001"/>
        </w:numPr>
        <w:pStyle w:val="Compact"/>
      </w:pPr>
      <w:r>
        <w:t xml:space="preserve">To co-develop with stakeholders a scalable model for decentralized dental service delivery ("Satellite Clinic Network") tailored to Tokyo’s urban fabric.</w:t>
      </w:r>
    </w:p>
    <w:bookmarkEnd w:id="23"/>
    <w:bookmarkStart w:id="24" w:name="v.-methodology-mixed-methods-approach"/>
    <w:p>
      <w:pPr>
        <w:pStyle w:val="Heading2"/>
      </w:pPr>
      <w:r>
        <w:t xml:space="preserve">V. Methodology: Mixed-Methods Approach</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Collaborate with MHLW and Tokyo Ward Health Bureaus to anonymize and analyze NHI claims data, tracking patient visits, clinic locations, and demographic correlations across all Tokyo wards. GIS mapping will visualize service gaps.</w:t>
      </w:r>
    </w:p>
    <w:p>
      <w:pPr>
        <w:numPr>
          <w:ilvl w:val="0"/>
          <w:numId w:val="1002"/>
        </w:numPr>
        <w:pStyle w:val="Compact"/>
      </w:pPr>
      <w:r>
        <w:rPr>
          <w:bCs/>
          <w:b/>
        </w:rPr>
        <w:t xml:space="preserve">Phase 2 (Qualitative):</w:t>
      </w:r>
      <w:r>
        <w:t xml:space="preserve"> </w:t>
      </w:r>
      <w:r>
        <w:t xml:space="preserve">Conduct 40 semi-structured interviews with Tokyo-based</w:t>
      </w:r>
      <w:r>
        <w:t xml:space="preserve"> </w:t>
      </w:r>
      <w:r>
        <w:rPr>
          <w:bCs/>
          <w:b/>
        </w:rPr>
        <w:t xml:space="preserve">Dentist</w:t>
      </w:r>
      <w:r>
        <w:t xml:space="preserve">s (50% in underserved areas), 30 elderly patients, and 15 policymakers. Thematic analysis will identify cultural and systemic barriers.</w:t>
      </w:r>
    </w:p>
    <w:p>
      <w:pPr>
        <w:numPr>
          <w:ilvl w:val="0"/>
          <w:numId w:val="1002"/>
        </w:numPr>
        <w:pStyle w:val="Compact"/>
      </w:pPr>
      <w:r>
        <w:rPr>
          <w:bCs/>
          <w:b/>
        </w:rPr>
        <w:t xml:space="preserve">Phase 3 (Participatory Design):</w:t>
      </w:r>
      <w:r>
        <w:t xml:space="preserve"> </w:t>
      </w:r>
      <w:r>
        <w:t xml:space="preserve">Host workshops with the Tokyo Dental Association, ward health officials, and patient advocacy groups to co-design the "Satellite Clinic Network" prototype.</w:t>
      </w:r>
    </w:p>
    <w:bookmarkEnd w:id="24"/>
    <w:bookmarkStart w:id="25" w:name="X31854770222ee446e1a505dc171e76f85b15f52"/>
    <w:p>
      <w:pPr>
        <w:pStyle w:val="Heading2"/>
      </w:pPr>
      <w:r>
        <w:t xml:space="preserve">VI. Expected Outcomes and Significance for Japan Tokyo</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publicly accessible Tokyo Dental Service Atlas pinpointing high-need zones.</w:t>
      </w:r>
    </w:p>
    <w:p>
      <w:pPr>
        <w:numPr>
          <w:ilvl w:val="0"/>
          <w:numId w:val="1003"/>
        </w:numPr>
        <w:pStyle w:val="Compact"/>
      </w:pPr>
      <w:r>
        <w:t xml:space="preserve">Evidence-based policy briefs for the Tokyo Metropolitan Government on optimizing NHI reimbursement for rural-urban clinics.</w:t>
      </w:r>
    </w:p>
    <w:p>
      <w:pPr>
        <w:numPr>
          <w:ilvl w:val="0"/>
          <w:numId w:val="1003"/>
        </w:numPr>
        <w:pStyle w:val="Compact"/>
      </w:pPr>
      <w:r>
        <w:t xml:space="preserve">A culturally attuned workforce model enhancing retention of young dentists in Tokyo's peripheral wards through tele-dentistry support and community integration.</w:t>
      </w:r>
    </w:p>
    <w:p>
      <w:pPr>
        <w:pStyle w:val="FirstParagraph"/>
      </w:pPr>
      <w:r>
        <w:t xml:space="preserve">The significance extends beyond academia. For</w:t>
      </w:r>
      <w:r>
        <w:t xml:space="preserve"> </w:t>
      </w:r>
      <w:r>
        <w:rPr>
          <w:bCs/>
          <w:b/>
        </w:rPr>
        <w:t xml:space="preserve">Japan Tokyo</w:t>
      </w:r>
      <w:r>
        <w:t xml:space="preserve">, this research directly supports the "Tokyo 2030 Health Strategy" goal of achieving 95% accessibility to essential dental care. It addresses a critical economic need: untreated oral disease costs Japan an estimated ¥1.2 trillion annually (MHLW, 2022), with Tokyo bearing disproportionate burden due to its population density. For the global community, findings on integrating cultural preferences into urban dental planning offer a replicable framework for megacities in Asia and beyond.</w:t>
      </w:r>
    </w:p>
    <w:bookmarkEnd w:id="25"/>
    <w:bookmarkStart w:id="26" w:name="vii.-ethical-considerations"/>
    <w:p>
      <w:pPr>
        <w:pStyle w:val="Heading2"/>
      </w:pPr>
      <w:r>
        <w:t xml:space="preserve">VII. Ethical Considerations</w:t>
      </w:r>
    </w:p>
    <w:p>
      <w:pPr>
        <w:pStyle w:val="FirstParagraph"/>
      </w:pPr>
      <w:r>
        <w:t xml:space="preserve">All data handling will strictly comply with Japan's Act on the Protection of Personal Information (APPI) and Tokyo Metropolitan University Ethics Guidelines. Patient interviews will obtain informed consent, with anonymity guaranteed. Data sharing agreements with MHLW ensure no identifiable patient information is disclosed.</w:t>
      </w:r>
    </w:p>
    <w:bookmarkEnd w:id="26"/>
    <w:bookmarkStart w:id="27" w:name="viii.-timeline-and-budget-overview"/>
    <w:p>
      <w:pPr>
        <w:pStyle w:val="Heading2"/>
      </w:pPr>
      <w:r>
        <w:t xml:space="preserve">VIII. Timeline and Budget Overview</w:t>
      </w:r>
    </w:p>
    <w:p>
      <w:pPr>
        <w:pStyle w:val="FirstParagraph"/>
      </w:pPr>
      <w:r>
        <w:rPr>
          <w:bCs/>
          <w:b/>
        </w:rPr>
        <w:t xml:space="preserve">Months 1-3:</w:t>
      </w:r>
      <w:r>
        <w:t xml:space="preserve"> </w:t>
      </w:r>
      <w:r>
        <w:t xml:space="preserve">Data acquisition &amp; ethics approval</w:t>
      </w:r>
      <w:r>
        <w:br/>
      </w:r>
      <w:r>
        <w:rPr>
          <w:bCs/>
          <w:b/>
        </w:rPr>
        <w:t xml:space="preserve">Months 4-9:</w:t>
      </w:r>
      <w:r>
        <w:t xml:space="preserve"> </w:t>
      </w:r>
      <w:r>
        <w:t xml:space="preserve">Quantitative analysis &amp; initial interviews</w:t>
      </w:r>
      <w:r>
        <w:br/>
      </w:r>
      <w:r>
        <w:rPr>
          <w:bCs/>
          <w:b/>
        </w:rPr>
        <w:t xml:space="preserve">Months 10-15:</w:t>
      </w:r>
      <w:r>
        <w:t xml:space="preserve"> </w:t>
      </w:r>
      <w:r>
        <w:t xml:space="preserve">Participatory workshop development</w:t>
      </w:r>
      <w:r>
        <w:br/>
      </w:r>
      <w:r>
        <w:rPr>
          <w:bCs/>
          <w:b/>
        </w:rPr>
        <w:t xml:space="preserve">Months 16-18:</w:t>
      </w:r>
      <w:r>
        <w:t xml:space="preserve"> </w:t>
      </w:r>
      <w:r>
        <w:t xml:space="preserve">Model validation, policy brief drafting</w:t>
      </w:r>
    </w:p>
    <w:bookmarkEnd w:id="27"/>
    <w:bookmarkStart w:id="29" w:name="X772ba496f3c553aa71d3f2022bc16914f85dccd"/>
    <w:p>
      <w:pPr>
        <w:pStyle w:val="Heading2"/>
      </w:pPr>
      <w:r>
        <w:t xml:space="preserve">IX. Conclusion: A Path Forward for Dentistry in Japan Tokyo</w:t>
      </w:r>
    </w:p>
    <w:p>
      <w:pPr>
        <w:pStyle w:val="FirstParagraph"/>
      </w:pPr>
      <w:r>
        <w:t xml:space="preserve">The success of modern healthcare in</w:t>
      </w:r>
      <w:r>
        <w:t xml:space="preserve"> </w:t>
      </w:r>
      <w:r>
        <w:rPr>
          <w:bCs/>
          <w:b/>
        </w:rPr>
        <w:t xml:space="preserve">Japan Tokyo</w:t>
      </w:r>
      <w:r>
        <w:t xml:space="preserve"> </w:t>
      </w:r>
      <w:r>
        <w:t xml:space="preserve">hinges on the strategic deployment of its dental professionals. This comprehensive</w:t>
      </w:r>
      <w:r>
        <w:t xml:space="preserve"> </w:t>
      </w:r>
      <w:r>
        <w:rPr>
          <w:bCs/>
          <w:b/>
        </w:rPr>
        <w:t xml:space="preserve">Research Proposal</w:t>
      </w:r>
      <w:r>
        <w:t xml:space="preserve"> </w:t>
      </w:r>
      <w:r>
        <w:t xml:space="preserve">moves beyond descriptive analysis to prescribe a culturally intelligent, data-driven solution for aligning the</w:t>
      </w:r>
      <w:r>
        <w:t xml:space="preserve"> </w:t>
      </w:r>
      <w:r>
        <w:rPr>
          <w:bCs/>
          <w:b/>
        </w:rPr>
        <w:t xml:space="preserve">Dentist</w:t>
      </w:r>
      <w:r>
        <w:t xml:space="preserve"> </w:t>
      </w:r>
      <w:r>
        <w:t xml:space="preserve">workforce with Tokyo's dynamic needs. By prioritizing accessibility for elderly citizens and optimizing clinic distribution through evidence-based tools, this research promises to elevate Japan's dental care standard within its most complex urban environment. The outcomes will empower policymakers to transform Tokyo from a city of fragmented dental access into a global benchmark for equitable, efficient urban dentistry—a model that resonates with</w:t>
      </w:r>
      <w:r>
        <w:t xml:space="preserve"> </w:t>
      </w:r>
      <w:r>
        <w:rPr>
          <w:bCs/>
          <w:b/>
        </w:rPr>
        <w:t xml:space="preserve">Japan Tokyo</w:t>
      </w:r>
      <w:r>
        <w:t xml:space="preserve">'s commitment to innovation and societal well-being.</w:t>
      </w:r>
    </w:p>
    <w:bookmarkStart w:id="28" w:name="word-count-847"/>
    <w:p>
      <w:pPr>
        <w:pStyle w:val="Heading3"/>
      </w:pPr>
      <w:r>
        <w:t xml:space="preserve">Word Count: 847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Dental Care Accessibility for Dentists in Japan Tokyo</dc:title>
  <dc:creator/>
  <dc:language>en</dc:language>
  <cp:keywords/>
  <dcterms:created xsi:type="dcterms:W3CDTF">2025-12-10T00:08:41Z</dcterms:created>
  <dcterms:modified xsi:type="dcterms:W3CDTF">2025-12-10T00:08:41Z</dcterms:modified>
</cp:coreProperties>
</file>

<file path=docProps/custom.xml><?xml version="1.0" encoding="utf-8"?>
<Properties xmlns="http://schemas.openxmlformats.org/officeDocument/2006/custom-properties" xmlns:vt="http://schemas.openxmlformats.org/officeDocument/2006/docPropsVTypes"/>
</file>