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9" w:name="X2519dafe02efc58da45a61be0aa3f40c945ba1e"/>
    <w:p>
      <w:pPr>
        <w:pStyle w:val="Heading1"/>
      </w:pPr>
      <w:r>
        <w:t xml:space="preserve">Research Proposal: Enhancing Dental Care Accessibility and Quality for Modern Dentist Practices in Turkey Istanbul</w:t>
      </w:r>
    </w:p>
    <w:bookmarkStart w:id="20" w:name="introduction"/>
    <w:p>
      <w:pPr>
        <w:pStyle w:val="Heading2"/>
      </w:pPr>
      <w:r>
        <w:t xml:space="preserve">1. Introduction</w:t>
      </w:r>
    </w:p>
    <w:p>
      <w:pPr>
        <w:pStyle w:val="FirstParagraph"/>
      </w:pPr>
      <w:r>
        <w:t xml:space="preserve">The city of Istanbul, straddling Europe and Asia, presents a unique dental healthcare landscape within Turkey's rapidly evolving medical sector. With over 15 million residents and a growing number of international patients seeking high-quality dental services, the demand for specialized dentist expertise has surged exponentially. This Research Proposal addresses critical gaps in contemporary dental care delivery systems across Turkey Istanbul, where cultural diversity, economic factors, and infrastructure challenges intersect to impact patient outcomes. As Turkey positions itself as a global health tourism destination—especially for cosmetic dentistry—the need for evidence-based research on optimizing dentist practices becomes imperative. This study will establish a framework for sustainable improvement in dental service quality while respecting Istanbul's distinct socio-cultural context.</w:t>
      </w:r>
    </w:p>
    <w:bookmarkEnd w:id="20"/>
    <w:bookmarkStart w:id="21" w:name="problem-statement"/>
    <w:p>
      <w:pPr>
        <w:pStyle w:val="Heading2"/>
      </w:pPr>
      <w:r>
        <w:t xml:space="preserve">2. Problem Statement</w:t>
      </w:r>
    </w:p>
    <w:p>
      <w:pPr>
        <w:pStyle w:val="FirstParagraph"/>
      </w:pPr>
      <w:r>
        <w:t xml:space="preserve">Despite Istanbul's status as Turkey's economic hub and a leading destination for medical tourism, significant disparities persist in dental healthcare accessibility and standardization. Current data indicates that 38% of low-income neighborhoods in Istanbul lack convenient access to certified dentist facilities, while private clinics often prioritize cosmetic procedures over preventive care. Furthermore, fragmented regulatory oversight leads to inconsistent treatment protocols across different districts. This Research Proposal identifies the urgent need for a comprehensive investigation into systemic barriers affecting dentist efficiency and patient satisfaction specifically within Turkey Istanbul's urban environment. Without targeted interventions informed by localized data, the city risks losing its competitive edge in dental tourism amid rising global standards.</w:t>
      </w:r>
    </w:p>
    <w:bookmarkEnd w:id="21"/>
    <w:bookmarkStart w:id="22" w:name="literature-review-key-gaps"/>
    <w:p>
      <w:pPr>
        <w:pStyle w:val="Heading2"/>
      </w:pPr>
      <w:r>
        <w:t xml:space="preserve">3. Literature Review (Key Gaps)</w:t>
      </w:r>
    </w:p>
    <w:p>
      <w:pPr>
        <w:pStyle w:val="FirstParagraph"/>
      </w:pPr>
      <w:r>
        <w:t xml:space="preserve">Existing studies on dental care in Turkey focus predominantly on national statistics without Istanbul-specific analysis. Research by the Turkish Dental Association (2021) highlights a 45% increase in dental tourism but omits clinic-level operational challenges. Meanwhile, a WHO report on Eastern Mediterranean healthcare (2022) notes inadequate integration of digital dentistry tools in public health facilities across Turkey Istanbul. Crucially, no prior study has examined the impact of cultural competency training on patient retention rates among immigrant communities—a critical factor given Istanbul's 700,000+ foreign residents. This Research Proposal bridges these gaps by centering its methodology on real-world dentist workflows in Istanbul's diverse clinical settings.</w:t>
      </w:r>
    </w:p>
    <w:bookmarkEnd w:id="22"/>
    <w:bookmarkStart w:id="23" w:name="research-objectives"/>
    <w:p>
      <w:pPr>
        <w:pStyle w:val="Heading2"/>
      </w:pPr>
      <w:r>
        <w:t xml:space="preserve">4. Research Objectives</w:t>
      </w:r>
    </w:p>
    <w:p>
      <w:pPr>
        <w:numPr>
          <w:ilvl w:val="0"/>
          <w:numId w:val="1001"/>
        </w:numPr>
        <w:pStyle w:val="Compact"/>
      </w:pPr>
      <w:r>
        <w:t xml:space="preserve">To evaluate current service delivery models across 30 dentist clinics in Istanbul's European and Asian districts</w:t>
      </w:r>
    </w:p>
    <w:p>
      <w:pPr>
        <w:numPr>
          <w:ilvl w:val="0"/>
          <w:numId w:val="1001"/>
        </w:numPr>
        <w:pStyle w:val="Compact"/>
      </w:pPr>
      <w:r>
        <w:t xml:space="preserve">To identify socioeconomic barriers limiting dental care access for marginalized populations in Turkey Istanbul</w:t>
      </w:r>
    </w:p>
    <w:p>
      <w:pPr>
        <w:numPr>
          <w:ilvl w:val="0"/>
          <w:numId w:val="1001"/>
        </w:numPr>
        <w:pStyle w:val="Compact"/>
      </w:pPr>
      <w:r>
        <w:t xml:space="preserve">To develop a culturally sensitive training framework for dentists addressing multilingual patient needs</w:t>
      </w:r>
    </w:p>
    <w:p>
      <w:pPr>
        <w:numPr>
          <w:ilvl w:val="0"/>
          <w:numId w:val="1001"/>
        </w:numPr>
        <w:pStyle w:val="Compact"/>
      </w:pPr>
      <w:r>
        <w:t xml:space="preserve">To propose infrastructure recommendations for integrating tele-dentistry into Istanbul's public healthcare network</w:t>
      </w:r>
    </w:p>
    <w:bookmarkEnd w:id="23"/>
    <w:bookmarkStart w:id="24" w:name="methodology"/>
    <w:p>
      <w:pPr>
        <w:pStyle w:val="Heading2"/>
      </w:pPr>
      <w:r>
        <w:t xml:space="preserve">5. Methodology</w:t>
      </w:r>
    </w:p>
    <w:p>
      <w:pPr>
        <w:pStyle w:val="FirstParagraph"/>
      </w:pPr>
      <w:r>
        <w:t xml:space="preserve">This mixed-methods study will employ a 14-month timeline across Turkey Istanbul. Phase 1 (Months 1-4) involves quantitative analysis of patient records from municipal dental centers and private clinics, using anonymized datasets covering 8,000+ patients. Phase 2 (Months 5-8) conducts in-depth qualitative interviews with 50 practicing dentist professionals across Istanbul's five administrative districts to assess workflow challenges. Crucially, Phase 3 (Months 9-12) implements a randomized controlled trial testing cultural competency modules with eight dentist teams at varying clinic sizes. The final phase (Months 13-14) synthesizes data into policy recommendations with the Istanbul Metropolitan Municipality Health Department.</w:t>
      </w:r>
    </w:p>
    <w:p>
      <w:pPr>
        <w:pStyle w:val="BodyText"/>
      </w:pPr>
      <w:r>
        <w:t xml:space="preserve">Key instruments include the Dentist Practice Assessment Scale (DPAS), adapted for Istanbul's context, and patient satisfaction surveys incorporating Turkish, Arabic, and English language options. Ethical approval will be secured from Marmara University's Institutional Review Board, ensuring compliance with Turkey's Medical Research Ethics Committee guidelines.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First, a standardized accreditation rubric for dentist clinics in Turkey Istanbul that prioritizes both technical excellence and patient-centered care. Second, a scalable training toolkit addressing communication barriers—particularly vital given Istanbul's influx of international patients from the Middle East and Europe. Third, evidence-based infrastructure proposals for digital dental records systems that align with Turkey's National e-Health Strategy (2024).</w:t>
      </w:r>
    </w:p>
    <w:p>
      <w:pPr>
        <w:pStyle w:val="BodyText"/>
      </w:pPr>
      <w:r>
        <w:t xml:space="preserve">The significance extends beyond academic contribution. For dentists in Turkey Istanbul, this study directly addresses burnout risks through optimized workflow analysis. For policymakers, it provides actionable data to reallocate public health resources toward underserved areas like Kadıköy and Ümraniye districts. Most importantly, successful implementation could elevate Turkey's dental tourism ranking from 12th to top 5 globally by 2030—a critical economic priority for the Turkish government.</w:t>
      </w:r>
    </w:p>
    <w:bookmarkEnd w:id="25"/>
    <w:bookmarkStart w:id="26" w:name="Xb60b60caeff24846a9a4278884e54c79167f50d"/>
    <w:p>
      <w:pPr>
        <w:pStyle w:val="Heading2"/>
      </w:pPr>
      <w:r>
        <w:t xml:space="preserve">7. Implementation Framework in Turkey Istanbul</w:t>
      </w:r>
    </w:p>
    <w:p>
      <w:pPr>
        <w:pStyle w:val="FirstParagraph"/>
      </w:pPr>
      <w:r>
        <w:t xml:space="preserve">Collaboration with key stakeholders ensures immediate applicability: The Turkish Dental Association (TDA) will co-design training modules, while the Istanbul Health Directorate will pilot infrastructure recommendations. We propose establishing a "Dentist Excellence Network" across 10 municipal clinics, creating a replicable model for other cities in Turkey. Budget allocation prioritizes community engagement—5% of funds will support free dental screenings in target neighborhoods, directly demonstrating value to underserved populations. All findings will be published in open-access journals and presented at the International Dental Federation Congress (2025), with special sessions dedicated to Istanbul's case study.</w:t>
      </w:r>
    </w:p>
    <w:bookmarkEnd w:id="26"/>
    <w:bookmarkStart w:id="28" w:name="conclusion"/>
    <w:p>
      <w:pPr>
        <w:pStyle w:val="Heading2"/>
      </w:pPr>
      <w:r>
        <w:t xml:space="preserve">8. Conclusion</w:t>
      </w:r>
    </w:p>
    <w:p>
      <w:pPr>
        <w:pStyle w:val="FirstParagraph"/>
      </w:pPr>
      <w:r>
        <w:t xml:space="preserve">This Research Proposal establishes a vital roadmap for transforming dental care delivery in Turkey Istanbul—a city where the convergence of tradition and modernity creates unparalleled opportunities for innovation. By centering the dentist as both clinical expert and community partner, we move beyond technical solutions to address systemic inequities. The study's focus on Istanbul's unique urban fabric—where historical neighborhoods like Sultanahmet meet contemporary districts like Maslak—ensures findings remain contextually relevant. As Turkey seeks to solidify its position as a global dental care leader, this research provides the empirical foundation for sustainable quality improvement that benefits both local residents and international patients.</w:t>
      </w:r>
    </w:p>
    <w:p>
      <w:pPr>
        <w:pStyle w:val="BodyText"/>
      </w:pPr>
      <w:r>
        <w:t xml:space="preserve">Ultimately, this Research Proposal represents not merely an academic exercise but a commitment to elevating the standard of care for every patient who walks into a dentist office in Istanbul. With Turkey's dental tourism market projected to reach $1.2 billion by 2027, our findings will directly contribute to economic growth while advancing healthcare equity—a dual mission essential for responsible development in Turkey Istanbul.</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Excellence in Turkey Istanbul</dc:title>
  <dc:creator/>
  <dc:language>en</dc:language>
  <cp:keywords/>
  <dcterms:created xsi:type="dcterms:W3CDTF">2026-07-21T03:48:52Z</dcterms:created>
  <dcterms:modified xsi:type="dcterms:W3CDTF">2026-07-21T03:48:52Z</dcterms:modified>
</cp:coreProperties>
</file>

<file path=docProps/custom.xml><?xml version="1.0" encoding="utf-8"?>
<Properties xmlns="http://schemas.openxmlformats.org/officeDocument/2006/custom-properties" xmlns:vt="http://schemas.openxmlformats.org/officeDocument/2006/docPropsVTypes"/>
</file>