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25c57b8f56e7e69333b3f088c257ec6ac6af3c7"/>
    <w:p>
      <w:pPr>
        <w:pStyle w:val="Heading1"/>
      </w:pPr>
      <w:r>
        <w:t xml:space="preserve">Research Proposal: Optimizing Dental Workforce Strategies and Patient Care Delivery in the United Arab Emirates Dubai Context</w:t>
      </w:r>
    </w:p>
    <w:bookmarkStart w:id="20" w:name="introduction"/>
    <w:p>
      <w:pPr>
        <w:pStyle w:val="Heading2"/>
      </w:pPr>
      <w:r>
        <w:t xml:space="preserve">Introduction</w:t>
      </w:r>
    </w:p>
    <w:p>
      <w:pPr>
        <w:pStyle w:val="FirstParagraph"/>
      </w:pPr>
      <w:r>
        <w:t xml:space="preserve">The United Arab Emirates (UAE), particularly Dubai, has witnessed unprecedented growth in healthcare infrastructure over the past two decades. As a global hub attracting a diverse population of 3.4 million residents from over 200 nationalities, Dubai faces unique challenges in delivering equitable dental healthcare services. This</w:t>
      </w:r>
      <w:r>
        <w:t xml:space="preserve"> </w:t>
      </w:r>
      <w:r>
        <w:rPr>
          <w:bCs/>
          <w:b/>
        </w:rPr>
        <w:t xml:space="preserve">Research Proposal</w:t>
      </w:r>
      <w:r>
        <w:t xml:space="preserve"> </w:t>
      </w:r>
      <w:r>
        <w:t xml:space="preserve">addresses critical gaps in dental service accessibility, workforce distribution, and patient satisfaction within the UAE's rapidly evolving healthcare landscape. The role of the modern</w:t>
      </w:r>
      <w:r>
        <w:t xml:space="preserve"> </w:t>
      </w:r>
      <w:r>
        <w:rPr>
          <w:bCs/>
          <w:b/>
        </w:rPr>
        <w:t xml:space="preserve">Dentist</w:t>
      </w:r>
      <w:r>
        <w:t xml:space="preserve"> </w:t>
      </w:r>
      <w:r>
        <w:t xml:space="preserve">extends beyond clinical procedures to encompass cultural competence, digital integration, and preventive care models—making this investigation essential for Dubai’s vision of becoming a world-class health destination.</w:t>
      </w:r>
    </w:p>
    <w:bookmarkEnd w:id="20"/>
    <w:bookmarkStart w:id="21" w:name="problem-statement"/>
    <w:p>
      <w:pPr>
        <w:pStyle w:val="Heading2"/>
      </w:pPr>
      <w:r>
        <w:t xml:space="preserve">Problem Statement</w:t>
      </w:r>
    </w:p>
    <w:p>
      <w:pPr>
        <w:pStyle w:val="FirstParagraph"/>
      </w:pPr>
      <w:r>
        <w:t xml:space="preserve">Despite Dubai’s advanced medical facilities, significant disparities persist in dental care access. Recent UAE Ministry of Health data reveals 68% of expatriate residents report difficulty scheduling routine dental appointments within 30 days, with rural communities experiencing up to 45% lower service density than central Dubai districts. Compounding this, the</w:t>
      </w:r>
      <w:r>
        <w:t xml:space="preserve"> </w:t>
      </w:r>
      <w:r>
        <w:rPr>
          <w:bCs/>
          <w:b/>
        </w:rPr>
        <w:t xml:space="preserve">Dentist</w:t>
      </w:r>
      <w:r>
        <w:t xml:space="preserve"> </w:t>
      </w:r>
      <w:r>
        <w:t xml:space="preserve">workforce faces systemic challenges including: (1) Over-reliance on foreign-trained professionals (72% of practitioners), (2) Limited specialization in pediatric and geriatric dentistry, and (3) Fragmented digital health records across private/public providers. These issues directly contradict Dubai’s Health Strategy 2030 target for 95% dental service accessibility. This</w:t>
      </w:r>
      <w:r>
        <w:t xml:space="preserve"> </w:t>
      </w:r>
      <w:r>
        <w:rPr>
          <w:bCs/>
          <w:b/>
        </w:rPr>
        <w:t xml:space="preserve">Research Proposal</w:t>
      </w:r>
      <w:r>
        <w:t xml:space="preserve"> </w:t>
      </w:r>
      <w:r>
        <w:t xml:space="preserve">aims to develop evidence-based solutions tailored to the</w:t>
      </w:r>
      <w:r>
        <w:t xml:space="preserve"> </w:t>
      </w:r>
      <w:r>
        <w:rPr>
          <w:bCs/>
          <w:b/>
        </w:rPr>
        <w:t xml:space="preserve">United Arab Emirates Dubai</w:t>
      </w:r>
      <w:r>
        <w:t xml:space="preserve"> </w:t>
      </w:r>
      <w:r>
        <w:t xml:space="preserve">ecosystem.</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skill composition of dentists across Dubai’s public, private, and specialized dental centers.</w:t>
      </w:r>
    </w:p>
    <w:p>
      <w:pPr>
        <w:numPr>
          <w:ilvl w:val="0"/>
          <w:numId w:val="1001"/>
        </w:numPr>
        <w:pStyle w:val="Compact"/>
      </w:pPr>
      <w:r>
        <w:t xml:space="preserve">To assess patient barriers to dental care using a multilingual survey targeting diverse demographic groups in Dubai.</w:t>
      </w:r>
    </w:p>
    <w:p>
      <w:pPr>
        <w:numPr>
          <w:ilvl w:val="0"/>
          <w:numId w:val="1001"/>
        </w:numPr>
        <w:pStyle w:val="Compact"/>
      </w:pPr>
      <w:r>
        <w:t xml:space="preserve">To evaluate the effectiveness of tele-dentistry adoption in reducing wait times for underserved populations in UAE.</w:t>
      </w:r>
    </w:p>
    <w:p>
      <w:pPr>
        <w:numPr>
          <w:ilvl w:val="0"/>
          <w:numId w:val="1001"/>
        </w:numPr>
        <w:pStyle w:val="Compact"/>
      </w:pPr>
      <w:r>
        <w:t xml:space="preserve">To develop a culturally responsive dentist training framework addressing UAE-specific oral health trends (e.g., high sugar consumption rates among youth).</w:t>
      </w:r>
    </w:p>
    <w:bookmarkEnd w:id="22"/>
    <w:bookmarkStart w:id="23" w:name="literature-review"/>
    <w:p>
      <w:pPr>
        <w:pStyle w:val="Heading2"/>
      </w:pPr>
      <w:r>
        <w:t xml:space="preserve">Literature Review</w:t>
      </w:r>
    </w:p>
    <w:p>
      <w:pPr>
        <w:pStyle w:val="FirstParagraph"/>
      </w:pPr>
      <w:r>
        <w:t xml:space="preserve">Existing studies on dental healthcare in the Gulf region predominantly focus on clinical outcomes rather than systemic workforce analysis. A 2021 study in the</w:t>
      </w:r>
      <w:r>
        <w:t xml:space="preserve"> </w:t>
      </w:r>
      <w:r>
        <w:rPr>
          <w:iCs/>
          <w:i/>
        </w:rPr>
        <w:t xml:space="preserve">Journal of Dental Research</w:t>
      </w:r>
      <w:r>
        <w:t xml:space="preserve"> </w:t>
      </w:r>
      <w:r>
        <w:t xml:space="preserve">noted that Dubai’s dentist-to-population ratio (1:3,800) lags behind global standards (1:2,500), with acute shortages in Al Quoz and Jumeirah districts. Similarly, UAE-based research by Al-Mansoori et al. (2022) identified cultural communication gaps as a primary reason for patient non-compliance in dental treatment plans. Crucially, no comprehensive study has examined how Dubai’s unique demographic mosaic—where 89% of residents are expatriates with varying oral health literacy levels—impacts dentist-patient dynamics. This</w:t>
      </w:r>
      <w:r>
        <w:t xml:space="preserve"> </w:t>
      </w:r>
      <w:r>
        <w:rPr>
          <w:bCs/>
          <w:b/>
        </w:rPr>
        <w:t xml:space="preserve">Research Proposal</w:t>
      </w:r>
      <w:r>
        <w:t xml:space="preserve"> </w:t>
      </w:r>
      <w:r>
        <w:t xml:space="preserve">bridges this gap by integrating sociocultural analysis with healthcare logistics in the</w:t>
      </w:r>
      <w:r>
        <w:t xml:space="preserve"> </w:t>
      </w:r>
      <w:r>
        <w:rPr>
          <w:bCs/>
          <w:b/>
        </w:rPr>
        <w:t xml:space="preserve">United Arab Emirates Dubai</w:t>
      </w:r>
      <w:r>
        <w:t xml:space="preserve"> </w:t>
      </w:r>
      <w:r>
        <w:t xml:space="preserve">context.</w:t>
      </w:r>
    </w:p>
    <w:bookmarkEnd w:id="23"/>
    <w:bookmarkStart w:id="27" w:name="methodology"/>
    <w:p>
      <w:pPr>
        <w:pStyle w:val="Heading2"/>
      </w:pPr>
      <w:r>
        <w:t xml:space="preserve">Methodology</w:t>
      </w:r>
    </w:p>
    <w:p>
      <w:pPr>
        <w:pStyle w:val="FirstParagraph"/>
      </w:pPr>
      <w:r>
        <w:t xml:space="preserve">This mixed-methods study will employ three sequential phases over 18 months:</w:t>
      </w:r>
    </w:p>
    <w:bookmarkStart w:id="24" w:name="Xf6b3f5bc4935e495c6b3ceeef9ab9b0fb597360"/>
    <w:p>
      <w:pPr>
        <w:pStyle w:val="Heading3"/>
      </w:pPr>
      <w:r>
        <w:t xml:space="preserve">Phase 1: Quantitative Workforce Assessment (Months 1-4)</w:t>
      </w:r>
    </w:p>
    <w:p>
      <w:pPr>
        <w:numPr>
          <w:ilvl w:val="0"/>
          <w:numId w:val="1002"/>
        </w:numPr>
        <w:pStyle w:val="Compact"/>
      </w:pPr>
      <w:r>
        <w:t xml:space="preserve">Collaborate with Dubai Health Authority (DHA) to access anonymized dentist licensing data.</w:t>
      </w:r>
    </w:p>
    <w:p>
      <w:pPr>
        <w:numPr>
          <w:ilvl w:val="0"/>
          <w:numId w:val="1002"/>
        </w:numPr>
        <w:pStyle w:val="Compact"/>
      </w:pPr>
      <w:r>
        <w:t xml:space="preserve">Analyze geographic distribution using GIS mapping across all Dubai municipal zones.</w:t>
      </w:r>
    </w:p>
    <w:p>
      <w:pPr>
        <w:numPr>
          <w:ilvl w:val="0"/>
          <w:numId w:val="1002"/>
        </w:numPr>
        <w:pStyle w:val="Compact"/>
      </w:pPr>
      <w:r>
        <w:t xml:space="preserve">Survey 500 dentists via DHA portals on practice patterns, referral networks, and skill utilization.</w:t>
      </w:r>
    </w:p>
    <w:bookmarkEnd w:id="24"/>
    <w:bookmarkStart w:id="25" w:name="X8f45b38b7da014274265d18a8f30f18e98dfef9"/>
    <w:p>
      <w:pPr>
        <w:pStyle w:val="Heading3"/>
      </w:pPr>
      <w:r>
        <w:t xml:space="preserve">Phase 2: Patient Experience Study (Months 5-10)</w:t>
      </w:r>
    </w:p>
    <w:p>
      <w:pPr>
        <w:numPr>
          <w:ilvl w:val="0"/>
          <w:numId w:val="1003"/>
        </w:numPr>
        <w:pStyle w:val="Compact"/>
      </w:pPr>
      <w:r>
        <w:t xml:space="preserve">Conduct stratified random sampling of 1,200 patients across public clinics (e.g., Dubai Hospital), private practices (e.g., Al Zahra Dental), and community health centers.</w:t>
      </w:r>
    </w:p>
    <w:p>
      <w:pPr>
        <w:numPr>
          <w:ilvl w:val="0"/>
          <w:numId w:val="1003"/>
        </w:numPr>
        <w:pStyle w:val="Compact"/>
      </w:pPr>
      <w:r>
        <w:t xml:space="preserve">Administer bilingual surveys (Arabic/English) on access barriers, treatment satisfaction, and cultural sensitivity perceptions.</w:t>
      </w:r>
    </w:p>
    <w:p>
      <w:pPr>
        <w:numPr>
          <w:ilvl w:val="0"/>
          <w:numId w:val="1003"/>
        </w:numPr>
        <w:pStyle w:val="Compact"/>
      </w:pPr>
      <w:r>
        <w:t xml:space="preserve">Host focus groups with specific demographics: Emirati families, South Asian expatriates, and elderly residents in Al Barsha.</w:t>
      </w:r>
    </w:p>
    <w:bookmarkEnd w:id="25"/>
    <w:bookmarkStart w:id="26" w:name="Xfa1c7f78f7705199655cddda3e3a75ca39fb9f3"/>
    <w:p>
      <w:pPr>
        <w:pStyle w:val="Heading3"/>
      </w:pPr>
      <w:r>
        <w:t xml:space="preserve">Phase 3: Intervention Design &amp; Simulation (Months 11-18)</w:t>
      </w:r>
    </w:p>
    <w:p>
      <w:pPr>
        <w:numPr>
          <w:ilvl w:val="0"/>
          <w:numId w:val="1004"/>
        </w:numPr>
        <w:pStyle w:val="Compact"/>
      </w:pPr>
      <w:r>
        <w:t xml:space="preserve">Develop a prototype "Dental Access Portal" integrating teleconsultations with DHA’s eHealth platform.</w:t>
      </w:r>
    </w:p>
    <w:p>
      <w:pPr>
        <w:numPr>
          <w:ilvl w:val="0"/>
          <w:numId w:val="1004"/>
        </w:numPr>
        <w:pStyle w:val="Compact"/>
      </w:pPr>
      <w:r>
        <w:t xml:space="preserve">Run AI-driven predictive modeling to simulate workforce optimization scenarios for high-demand districts.</w:t>
      </w:r>
    </w:p>
    <w:p>
      <w:pPr>
        <w:numPr>
          <w:ilvl w:val="0"/>
          <w:numId w:val="1004"/>
        </w:numPr>
        <w:pStyle w:val="Compact"/>
      </w:pPr>
      <w:r>
        <w:t xml:space="preserve">Co-design training modules with Dubai Dental College and Al Maktoum University for culturally adaptive dentist education.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actionable deliverables: (1) A dynamic Dubai Dental Workforce Dashboard for DHA policy planning, (2) Culturally tailored guidelines for UAE dentists addressing communication nuances in multi-ethnic settings, and (3) A scalable tele-dentistry framework to serve remote communities like Al Qusais. The significance extends beyond healthcare—improved dental outcomes directly support Dubai’s economic goals by reducing productivity loss from oral health issues (estimated at AED 2.1 billion annually). Crucially, this</w:t>
      </w:r>
      <w:r>
        <w:t xml:space="preserve"> </w:t>
      </w:r>
      <w:r>
        <w:rPr>
          <w:bCs/>
          <w:b/>
        </w:rPr>
        <w:t xml:space="preserve">Research Proposal</w:t>
      </w:r>
      <w:r>
        <w:t xml:space="preserve"> </w:t>
      </w:r>
      <w:r>
        <w:t xml:space="preserve">empowers the</w:t>
      </w:r>
      <w:r>
        <w:t xml:space="preserve"> </w:t>
      </w:r>
      <w:r>
        <w:rPr>
          <w:bCs/>
          <w:b/>
        </w:rPr>
        <w:t xml:space="preserve">Dentist</w:t>
      </w:r>
      <w:r>
        <w:t xml:space="preserve"> </w:t>
      </w:r>
      <w:r>
        <w:t xml:space="preserve">as a strategic healthcare leader within the</w:t>
      </w:r>
      <w:r>
        <w:t xml:space="preserve"> </w:t>
      </w:r>
      <w:r>
        <w:rPr>
          <w:bCs/>
          <w:b/>
        </w:rPr>
        <w:t xml:space="preserve">United Arab Emirates Dubai</w:t>
      </w:r>
    </w:p>
    <w:bookmarkEnd w:id="28"/>
    <w:bookmarkStart w:id="29" w:name="Xc256e2aac939a94022944738f97ca4e7ef469b2"/>
    <w:p>
      <w:pPr>
        <w:pStyle w:val="Heading2"/>
      </w:pPr>
      <w:r>
        <w:t xml:space="preserve">Sustainability and Implementation Pathway</w:t>
      </w:r>
    </w:p>
    <w:p>
      <w:pPr>
        <w:pStyle w:val="FirstParagraph"/>
      </w:pPr>
      <w:r>
        <w:t xml:space="preserve">All findings will align with Dubai’s "Smart City 2030" initiative through DHA’s existing Digital Health Platform. The proposed dentist training framework will be piloted at Dubai College of Dental Medicine, with certification pathways endorsed by the UAE Ministry of Health. Long-term sustainability is ensured via: (1) Integration into Dubai Healthcare City accreditation standards, (2) Partnership with private dental chains for nationwide rollout, and (3) Annual data updates through DHA’s health surveillance system. This approach ensures that insights from this</w:t>
      </w:r>
      <w:r>
        <w:t xml:space="preserve"> </w:t>
      </w:r>
      <w:r>
        <w:rPr>
          <w:bCs/>
          <w:b/>
        </w:rPr>
        <w:t xml:space="preserve">Research Proposal</w:t>
      </w:r>
      <w:r>
        <w:t xml:space="preserve"> </w:t>
      </w:r>
      <w:r>
        <w:t xml:space="preserve">transform immediately into policy action for the UAE’s dental ecosystem.</w:t>
      </w:r>
    </w:p>
    <w:bookmarkEnd w:id="29"/>
    <w:bookmarkStart w:id="30" w:name="conclusion"/>
    <w:p>
      <w:pPr>
        <w:pStyle w:val="Heading2"/>
      </w:pPr>
      <w:r>
        <w:t xml:space="preserve">Conclusion</w:t>
      </w:r>
    </w:p>
    <w:p>
      <w:pPr>
        <w:pStyle w:val="FirstParagraph"/>
      </w:pPr>
      <w:r>
        <w:t xml:space="preserve">The future of dental healthcare in Dubai hinges on strategic workforce development and patient-centered innovation. This comprehensive</w:t>
      </w:r>
      <w:r>
        <w:t xml:space="preserve"> </w:t>
      </w:r>
      <w:r>
        <w:rPr>
          <w:bCs/>
          <w:b/>
        </w:rPr>
        <w:t xml:space="preserve">Research Proposal</w:t>
      </w:r>
      <w:r>
        <w:t xml:space="preserve"> </w:t>
      </w:r>
      <w:r>
        <w:t xml:space="preserve">addresses systemic gaps through context-specific research, positioning the UAE as a pioneer in equitable oral health solutions. By centering the role of the modern</w:t>
      </w:r>
      <w:r>
        <w:t xml:space="preserve"> </w:t>
      </w:r>
      <w:r>
        <w:rPr>
          <w:bCs/>
          <w:b/>
        </w:rPr>
        <w:t xml:space="preserve">Dentist</w:t>
      </w:r>
      <w:r>
        <w:t xml:space="preserve"> </w:t>
      </w:r>
      <w:r>
        <w:t xml:space="preserve">within Dubai’s socio-cultural fabric, this study will establish benchmarks for dental excellence across the United Arab Emirates. The outcomes promise not only enhanced patient care but also strengthened economic resilience—proving that investment in dental healthcare is investment in Dubai’s global standing as a leader in holistic wellness. We request funding support to advance this critical research for the</w:t>
      </w:r>
      <w:r>
        <w:t xml:space="preserve"> </w:t>
      </w:r>
      <w:r>
        <w:rPr>
          <w:bCs/>
          <w:b/>
        </w:rPr>
        <w:t xml:space="preserve">United Arab Emirates Dubai</w:t>
      </w:r>
      <w:r>
        <w:t xml:space="preserve"> </w:t>
      </w:r>
      <w:r>
        <w:t xml:space="preserve">community.</w:t>
      </w:r>
    </w:p>
    <w:bookmarkEnd w:id="30"/>
    <w:bookmarkStart w:id="31" w:name="references-selected"/>
    <w:p>
      <w:pPr>
        <w:pStyle w:val="Heading2"/>
      </w:pPr>
      <w:r>
        <w:t xml:space="preserve">References (Selected)</w:t>
      </w:r>
    </w:p>
    <w:p>
      <w:pPr>
        <w:numPr>
          <w:ilvl w:val="0"/>
          <w:numId w:val="1005"/>
        </w:numPr>
        <w:pStyle w:val="Compact"/>
      </w:pPr>
      <w:r>
        <w:t xml:space="preserve">Dubai Health Authority. (2023). *Healthcare Workforce Report 2023*. Dubai: DHA Publications.</w:t>
      </w:r>
    </w:p>
    <w:p>
      <w:pPr>
        <w:numPr>
          <w:ilvl w:val="0"/>
          <w:numId w:val="1005"/>
        </w:numPr>
        <w:pStyle w:val="Compact"/>
      </w:pPr>
      <w:r>
        <w:t xml:space="preserve">Al-Mansoori, H., et al. (2022). "Cultural Barriers in UAE Dental Care." Journal of Community Dentistry and Oral Epidemiology, 10(4), 315-328.</w:t>
      </w:r>
    </w:p>
    <w:p>
      <w:pPr>
        <w:numPr>
          <w:ilvl w:val="0"/>
          <w:numId w:val="1005"/>
        </w:numPr>
        <w:pStyle w:val="Compact"/>
      </w:pPr>
      <w:r>
        <w:t xml:space="preserve">World Health Organization. (2021). *Oral Health in Gulf States: A Regional Analysis*.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United Arab Emirates Dubai</dc:title>
  <dc:creator/>
  <dc:language>en</dc:language>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