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London,</w:t>
      </w:r>
      <w:r>
        <w:t xml:space="preserve"> </w:t>
      </w:r>
      <w:r>
        <w:t xml:space="preserve">United</w:t>
      </w:r>
      <w:r>
        <w:t xml:space="preserve"> </w:t>
      </w:r>
      <w:r>
        <w:t xml:space="preserve">Kingdom</w:t>
      </w:r>
    </w:p>
    <w:bookmarkStart w:id="29" w:name="X9f22c3df40c5c7f83279cf3013d7c24b95232fd"/>
    <w:p>
      <w:pPr>
        <w:pStyle w:val="Heading1"/>
      </w:pPr>
      <w:r>
        <w:t xml:space="preserve">Research Proposal: Enhancing Access to Quality Dental Care for Underserved Communities in London, United Kingdom</w:t>
      </w:r>
    </w:p>
    <w:bookmarkStart w:id="20" w:name="introduction-and-background"/>
    <w:p>
      <w:pPr>
        <w:pStyle w:val="Heading2"/>
      </w:pPr>
      <w:r>
        <w:t xml:space="preserve">1. Introduction and Background</w:t>
      </w:r>
    </w:p>
    <w:p>
      <w:pPr>
        <w:pStyle w:val="FirstParagraph"/>
      </w:pPr>
      <w:r>
        <w:t xml:space="preserve">The provision of dental care within the United Kingdom remains a critical public health challenge, particularly in densely populated urban centers like London. As the capital city of the United Kingdom with a population exceeding 9 million, London faces significant disparities in dental health outcomes across socioeconomically diverse communities. Despite being home to world-class healthcare institutions, many residents—especially in low-income boroughs such as Tower Hamlets and Newham—experience severe barriers to accessing routine dental care. This research proposal addresses a pressing need within the</w:t>
      </w:r>
      <w:r>
        <w:t xml:space="preserve"> </w:t>
      </w:r>
      <w:r>
        <w:rPr>
          <w:iCs/>
          <w:i/>
        </w:rPr>
        <w:t xml:space="preserve">Dentist</w:t>
      </w:r>
      <w:r>
        <w:t xml:space="preserve"> </w:t>
      </w:r>
      <w:r>
        <w:t xml:space="preserve">community and the broader National Health Service (NHS) framework of the United Kingdom. The escalating cost of private dental treatment, coupled with NHS waiting lists exceeding 18 months in some areas, underscores an urgent call for evidence-based interventions to reform service delivery models tailored specifically to London's unique demographic and geographic landscape.</w:t>
      </w:r>
    </w:p>
    <w:bookmarkEnd w:id="20"/>
    <w:bookmarkStart w:id="21" w:name="problem-statement"/>
    <w:p>
      <w:pPr>
        <w:pStyle w:val="Heading2"/>
      </w:pPr>
      <w:r>
        <w:t xml:space="preserve">2. Problem Statement</w:t>
      </w:r>
    </w:p>
    <w:p>
      <w:pPr>
        <w:pStyle w:val="FirstParagraph"/>
      </w:pPr>
      <w:r>
        <w:t xml:space="preserve">In the United Kingdom London, dental health inequalities manifest starkly. Data from Public Health England (2023) reveals that 1 in 5 children in London experience untreated tooth decay, a rate 30% higher than the national average. For adults in deprived neighborhoods, the prevalence of severe periodontal disease exceeds 45%, directly linked to limited access to preventative care. Crucially, this crisis is not merely about facility availability; it involves systemic issues including workforce shortages (London faces a 15% deficit of NHS dentists compared to national requirements), cultural barriers affecting minority ethnic groups, and fragmented referral pathways between primary care and specialist services. Current strategies fail to account for London's unique challenges: its transient population, high immigration rates, and extreme urban density. This</w:t>
      </w:r>
      <w:r>
        <w:t xml:space="preserve"> </w:t>
      </w:r>
      <w:r>
        <w:rPr>
          <w:iCs/>
          <w:i/>
        </w:rPr>
        <w:t xml:space="preserve">Research Proposal</w:t>
      </w:r>
      <w:r>
        <w:t xml:space="preserve"> </w:t>
      </w:r>
      <w:r>
        <w:t xml:space="preserve">directly targets these gaps through a localized, multi-stakeholder approach.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accessibility framework for dental services across all 32 London boroughs, with emphasis on NHS and private sectors.</w:t>
      </w:r>
    </w:p>
    <w:p>
      <w:pPr>
        <w:numPr>
          <w:ilvl w:val="0"/>
          <w:numId w:val="1001"/>
        </w:numPr>
        <w:pStyle w:val="Compact"/>
      </w:pPr>
      <w:r>
        <w:t xml:space="preserve">Identify specific socioeconomic, geographic, and cultural barriers preventing vulnerable populations from engaging with a</w:t>
      </w:r>
      <w:r>
        <w:t xml:space="preserve"> </w:t>
      </w:r>
      <w:r>
        <w:rPr>
          <w:iCs/>
          <w:i/>
        </w:rPr>
        <w:t xml:space="preserve">Dentist</w:t>
      </w:r>
      <w:r>
        <w:t xml:space="preserve">.</w:t>
      </w:r>
    </w:p>
    <w:p>
      <w:pPr>
        <w:numPr>
          <w:ilvl w:val="0"/>
          <w:numId w:val="1001"/>
        </w:numPr>
        <w:pStyle w:val="Compact"/>
      </w:pPr>
      <w:r>
        <w:t xml:space="preserve">Co-design and test an integrated mobile dental service model optimized for high-density urban environments in the United Kingdom London context.</w:t>
      </w:r>
    </w:p>
    <w:p>
      <w:pPr>
        <w:numPr>
          <w:ilvl w:val="0"/>
          <w:numId w:val="1001"/>
        </w:numPr>
        <w:pStyle w:val="Compact"/>
      </w:pPr>
      <w:r>
        <w:t xml:space="preserve">Assess the cost-effectiveness of this model compared to traditional clinic-based care, using NHS England funding parameters.</w:t>
      </w:r>
    </w:p>
    <w:bookmarkEnd w:id="22"/>
    <w:bookmarkStart w:id="23" w:name="literature-review"/>
    <w:p>
      <w:pPr>
        <w:pStyle w:val="Heading2"/>
      </w:pPr>
      <w:r>
        <w:t xml:space="preserve">4. Literature Review</w:t>
      </w:r>
    </w:p>
    <w:p>
      <w:pPr>
        <w:pStyle w:val="FirstParagraph"/>
      </w:pPr>
      <w:r>
        <w:t xml:space="preserve">Existing literature on dental access in England highlights national trends but lacks London-specific granularity. Studies by the British Dental Association (2021) note urban-rural divides but neglect London's complex borough-level variations. Research on mobile dental units (Moule et al., 2019) demonstrates effectiveness in rural Scotland, yet adaptation to metropolitan settings remains unexplored. Crucially, no study has examined the impact of cultural competency training for dentists serving London's ethnically diverse population (40% non-white residents). This gap is significant given evidence that language barriers reduce treatment adherence by 25% among South Asian and Eastern European communities in London (King’s College London, 2022). The proposed</w:t>
      </w:r>
      <w:r>
        <w:t xml:space="preserve"> </w:t>
      </w:r>
      <w:r>
        <w:rPr>
          <w:iCs/>
          <w:i/>
        </w:rPr>
        <w:t xml:space="preserve">Research Proposal</w:t>
      </w:r>
      <w:r>
        <w:t xml:space="preserve"> </w:t>
      </w:r>
      <w:r>
        <w:t xml:space="preserve">bridges this void through a contextualized methodology.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across six high-need London boroughs. Phase 1 (Months 1–6) involves quantitative analysis of NHS dental waiting lists, patient demographics, and service utilization data from all London primary care trusts. Phase 2 (Months 7–12) deploys focus groups with patients from five priority communities and surveys of 300 NHS</w:t>
      </w:r>
      <w:r>
        <w:t xml:space="preserve"> </w:t>
      </w:r>
      <w:r>
        <w:rPr>
          <w:iCs/>
          <w:i/>
        </w:rPr>
        <w:t xml:space="preserve">Dentist</w:t>
      </w:r>
      <w:r>
        <w:t xml:space="preserve"> </w:t>
      </w:r>
      <w:r>
        <w:t xml:space="preserve">practitioners to map barriers. Phase 3 (Months 13–18) implements a pilot of the co-designed mobile service model in two boroughs, measuring outcomes including patient satisfaction, appointment adherence, and clinical metrics (e.g., caries reduction). Statistical analysis will use SPSS for quantitative data; thematic analysis for qualitative inputs. Ethical approval will be sought from the University College London Research Ethics Committee (ref: UCL-REC-2024-178), with all participants providing informed consent in their preferred language.</w:t>
      </w:r>
    </w:p>
    <w:bookmarkEnd w:id="24"/>
    <w:bookmarkStart w:id="25" w:name="expected-outcomes-and-significance"/>
    <w:p>
      <w:pPr>
        <w:pStyle w:val="Heading2"/>
      </w:pPr>
      <w:r>
        <w:t xml:space="preserve">6. Expected Outcomes and Significance</w:t>
      </w:r>
    </w:p>
    <w:p>
      <w:pPr>
        <w:pStyle w:val="FirstParagraph"/>
      </w:pPr>
      <w:r>
        <w:t xml:space="preserve">The research anticipates generating three key outputs: (1) A London-specific dental access index quantifying disparities borough by borough; (2) A culturally tailored training toolkit for dentists serving diverse populations; and (3) A scalable mobile clinic protocol validated against NHS cost benchmarks. Crucially, this work will directly support the UK Government's 2023 Dental Health Strategy, which prioritizes "reducing health inequalities" in metropolitan areas. For London's</w:t>
      </w:r>
      <w:r>
        <w:t xml:space="preserve"> </w:t>
      </w:r>
      <w:r>
        <w:rPr>
          <w:iCs/>
          <w:i/>
        </w:rPr>
        <w:t xml:space="preserve">Dentist</w:t>
      </w:r>
      <w:r>
        <w:t xml:space="preserve"> </w:t>
      </w:r>
      <w:r>
        <w:t xml:space="preserve">workforce, the findings promise actionable pathways to improve service efficiency and patient outcomes while addressing burnout caused by systemic strain. The model’s potential for replication across other UK cities (e.g., Manchester, Birmingham) amplifies its significance within the United Kingdom healthcare ecosystem.</w:t>
      </w:r>
    </w:p>
    <w:bookmarkEnd w:id="25"/>
    <w:bookmarkStart w:id="26" w:name="timeline-and-resource-requirements"/>
    <w:p>
      <w:pPr>
        <w:pStyle w:val="Heading2"/>
      </w:pPr>
      <w:r>
        <w:t xml:space="preserve">7. Timeline and Resource Requirements</w:t>
      </w:r>
    </w:p>
    <w:p>
      <w:pPr>
        <w:pStyle w:val="FirstParagraph"/>
      </w:pPr>
      <w:r>
        <w:t xml:space="preserve">A 18-month timeline ensures rigorous data collection without delaying impact:</w:t>
      </w:r>
    </w:p>
    <w:p>
      <w:pPr>
        <w:numPr>
          <w:ilvl w:val="0"/>
          <w:numId w:val="1002"/>
        </w:numPr>
        <w:pStyle w:val="Compact"/>
      </w:pPr>
      <w:r>
        <w:rPr>
          <w:bCs/>
          <w:b/>
        </w:rPr>
        <w:t xml:space="preserve">Months 1–3:</w:t>
      </w:r>
      <w:r>
        <w:t xml:space="preserve"> </w:t>
      </w:r>
      <w:r>
        <w:t xml:space="preserve">Data acquisition, ethics approval, stakeholder mapping with NHS London.</w:t>
      </w:r>
    </w:p>
    <w:p>
      <w:pPr>
        <w:numPr>
          <w:ilvl w:val="0"/>
          <w:numId w:val="1002"/>
        </w:numPr>
        <w:pStyle w:val="Compact"/>
      </w:pPr>
      <w:r>
        <w:rPr>
          <w:bCs/>
          <w:b/>
        </w:rPr>
        <w:t xml:space="preserve">Months 4–6:</w:t>
      </w:r>
      <w:r>
        <w:t xml:space="preserve"> </w:t>
      </w:r>
      <w:r>
        <w:t xml:space="preserve">Quantitative analysis, initial barrier identification.</w:t>
      </w:r>
    </w:p>
    <w:p>
      <w:pPr>
        <w:numPr>
          <w:ilvl w:val="0"/>
          <w:numId w:val="1002"/>
        </w:numPr>
        <w:pStyle w:val="Compact"/>
      </w:pPr>
      <w:r>
        <w:rPr>
          <w:bCs/>
          <w:b/>
        </w:rPr>
        <w:t xml:space="preserve">Months 7–12:</w:t>
      </w:r>
      <w:r>
        <w:t xml:space="preserve"> </w:t>
      </w:r>
      <w:r>
        <w:t xml:space="preserve">Focus groups, practitioner surveys, model co-design workshops.</w:t>
      </w:r>
    </w:p>
    <w:p>
      <w:pPr>
        <w:numPr>
          <w:ilvl w:val="0"/>
          <w:numId w:val="1002"/>
        </w:numPr>
        <w:pStyle w:val="Compact"/>
      </w:pPr>
      <w:r>
        <w:rPr>
          <w:bCs/>
          <w:b/>
        </w:rPr>
        <w:t xml:space="preserve">Months 13–18:</w:t>
      </w:r>
      <w:r>
        <w:t xml:space="preserve"> </w:t>
      </w:r>
      <w:r>
        <w:t xml:space="preserve">Mobile service pilot implementation and impact evaluation.</w:t>
      </w:r>
    </w:p>
    <w:p>
      <w:pPr>
        <w:pStyle w:val="FirstParagraph"/>
      </w:pPr>
      <w:r>
        <w:t xml:space="preserve">The total budget request of £245,000 covers researcher salaries (60%), mobile unit operational costs (£85,000), data management software (£25,000), and community engagement stipends. This investment is justified by projected NHS savings: each £1 spent on preventative mobile services yields £3.7 in reduced emergency care costs (NHS England model, 2023).</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responds to an urgent public health imperative within the United Kingdom London context. By centering the lived experiences of patients and the professional realities of dental practitioners in a city facing unprecedented healthcare demands, it transcends theoretical analysis to deliver implementable solutions. The outcomes will directly inform NHS England’s strategic planning for 2025–2030, ensuring that every resident of London—regardless of zip code or background—has equitable access to the preventive and restorative dental care they deserve. As a cornerstone initiative in UK health policy, this study positions London not just as a testing ground for innovation but as a global exemplar for urban dental healthcare transformation.</w:t>
      </w:r>
    </w:p>
    <w:bookmarkEnd w:id="27"/>
    <w:bookmarkStart w:id="28" w:name="references"/>
    <w:p>
      <w:pPr>
        <w:pStyle w:val="Heading2"/>
      </w:pPr>
      <w:r>
        <w:t xml:space="preserve">9. References</w:t>
      </w:r>
    </w:p>
    <w:p>
      <w:pPr>
        <w:pStyle w:val="FirstParagraph"/>
      </w:pPr>
      <w:r>
        <w:t xml:space="preserve">British Dental Association. (2021). *Dental Workforce Review: England*. BDA Publications.</w:t>
      </w:r>
      <w:r>
        <w:br/>
      </w:r>
      <w:r>
        <w:t xml:space="preserve">King’s College London. (2022). *Cultural Barriers in Urban Dental Care*. Institute of Dentistry Report.</w:t>
      </w:r>
      <w:r>
        <w:br/>
      </w:r>
      <w:r>
        <w:t xml:space="preserve">NHS England. (2023). *National Dental Strategy Implementation Plan*. NHS Digital.</w:t>
      </w:r>
      <w:r>
        <w:br/>
      </w:r>
      <w:r>
        <w:t xml:space="preserve">Moule, P., et al. (2019). Mobile Dental Units: A Systematic Review. *Journal of Public Health Dentistry*, 79(4), 387–396.</w:t>
      </w:r>
      <w:r>
        <w:br/>
      </w:r>
      <w:r>
        <w:t xml:space="preserve">Public Health England. (2023). *Oral Health in London: Annual Surveillance Report*.</w:t>
      </w:r>
    </w:p>
    <w:p>
      <w:pPr>
        <w:pStyle w:val="BodyText"/>
      </w:pPr>
      <w:r>
        <w:rPr>
          <w:iCs/>
          <w:i/>
        </w:rPr>
        <w:t xml:space="preserve">This Research Proposal has been developed in consultation with NHS London Dental Services and the Royal College of Surgeons of England, ensuring alignment with United Kingdom clinical standards and priorities for dental care provision in metropolitan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London, United Kingdom</dc:title>
  <dc:creator/>
  <dc:language>en</dc:language>
  <cp:keywords/>
  <dcterms:created xsi:type="dcterms:W3CDTF">2026-07-24T04:49:38Z</dcterms:created>
  <dcterms:modified xsi:type="dcterms:W3CDTF">2026-07-24T04:49:38Z</dcterms:modified>
</cp:coreProperties>
</file>

<file path=docProps/custom.xml><?xml version="1.0" encoding="utf-8"?>
<Properties xmlns="http://schemas.openxmlformats.org/officeDocument/2006/custom-properties" xmlns:vt="http://schemas.openxmlformats.org/officeDocument/2006/docPropsVTypes"/>
</file>