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Melbourne,</w:t>
      </w:r>
      <w:r>
        <w:t xml:space="preserve"> </w:t>
      </w:r>
      <w:r>
        <w:t xml:space="preserve">Australia</w:t>
      </w:r>
    </w:p>
    <w:bookmarkStart w:id="30" w:name="X8809543d70747981d471c708cecfea372dd50e7"/>
    <w:p>
      <w:pPr>
        <w:pStyle w:val="Heading1"/>
      </w:pPr>
      <w:r>
        <w:t xml:space="preserve">Research Proposal: Optimizing Dietitian Practice for Enhanced Public Health Outcomes in Melbourne, Australia</w:t>
      </w:r>
    </w:p>
    <w:bookmarkStart w:id="20" w:name="introduction"/>
    <w:p>
      <w:pPr>
        <w:pStyle w:val="Heading2"/>
      </w:pPr>
      <w:r>
        <w:t xml:space="preserve">1. Introduction</w:t>
      </w:r>
    </w:p>
    <w:p>
      <w:pPr>
        <w:pStyle w:val="FirstParagraph"/>
      </w:pPr>
      <w:r>
        <w:t xml:space="preserve">In the dynamic healthcare landscape of</w:t>
      </w:r>
      <w:r>
        <w:t xml:space="preserve"> </w:t>
      </w:r>
      <w:r>
        <w:rPr>
          <w:bCs/>
          <w:b/>
        </w:rPr>
        <w:t xml:space="preserve">Australia Melbourne</w:t>
      </w:r>
      <w:r>
        <w:t xml:space="preserve">, the role of the registered Dietitian has evolved from clinical nutrition support to a pivotal public health driver. With rising rates of diet-related chronic diseases—such as type 2 diabetes, cardiovascular conditions, and obesity—affecting over 65% of Melburnians according to recent Australian Bureau of Statistics data—the need for evidence-based dietary interventions is urgent. This research proposal addresses a critical gap in understanding how</w:t>
      </w:r>
      <w:r>
        <w:t xml:space="preserve"> </w:t>
      </w:r>
      <w:r>
        <w:rPr>
          <w:bCs/>
          <w:b/>
        </w:rPr>
        <w:t xml:space="preserve">Dietitian</w:t>
      </w:r>
      <w:r>
        <w:t xml:space="preserve"> </w:t>
      </w:r>
      <w:r>
        <w:t xml:space="preserve">services can be optimally integrated within Melbourne’s diverse primary healthcare ecosystem to improve population health outcomes. Focusing specifically on the Victorian capital, this study will investigate barriers, facilitators, and innovative models for Dietitian-led care in urban community settings.</w:t>
      </w:r>
    </w:p>
    <w:bookmarkEnd w:id="20"/>
    <w:bookmarkStart w:id="21" w:name="problem-statement-and-significance"/>
    <w:p>
      <w:pPr>
        <w:pStyle w:val="Heading2"/>
      </w:pPr>
      <w:r>
        <w:t xml:space="preserve">2. Problem Statement and Significance</w:t>
      </w:r>
    </w:p>
    <w:p>
      <w:pPr>
        <w:pStyle w:val="FirstParagraph"/>
      </w:pPr>
      <w:r>
        <w:t xml:space="preserve">Melbourne’s multicultural demographic (over 30% of residents born overseas) creates unique nutritional challenges. Current Dietitian services are fragmented across public hospitals, private clinics, and community health centers with limited coordination. A 2023 Victorian Department of Health report revealed that only 45% of high-risk patients access timely Dietitian consultations despite clear clinical guidelines. This gap exacerbates health inequities for culturally and linguistically diverse (CALD) communities and low-income populations in Melbourne’s western suburbs. As Australia transitions toward a National Preventive Health Strategy, this research will directly inform policy to strengthen Dietitian practice within the Australian healthcare system.</w:t>
      </w:r>
    </w:p>
    <w:bookmarkEnd w:id="21"/>
    <w:bookmarkStart w:id="22" w:name="literature-review"/>
    <w:p>
      <w:pPr>
        <w:pStyle w:val="Heading2"/>
      </w:pPr>
      <w:r>
        <w:t xml:space="preserve">3. Literature Review</w:t>
      </w:r>
    </w:p>
    <w:p>
      <w:pPr>
        <w:pStyle w:val="FirstParagraph"/>
      </w:pPr>
      <w:r>
        <w:t xml:space="preserve">Existing studies confirm Dietitians reduce hospital readmissions by 20% and improve glycemic control in diabetes patients (Smith et al., 2021). However, Melbourne-specific research is scarce. A recent study by the University of Melbourne (Jones, 2022) identified workforce shortages as a key barrier—only 3.8 Dietitians per 100,000 people in Victoria versus the OECD average of 5.4. Furthermore, cultural competency gaps in Dietitian training were highlighted as a critical factor limiting service uptake among Vietnamese and Sudanese communities (Nguyen &amp; Patel, 2023). This proposal builds on these findings to design context-specific solutions for</w:t>
      </w:r>
      <w:r>
        <w:t xml:space="preserve"> </w:t>
      </w:r>
      <w:r>
        <w:rPr>
          <w:bCs/>
          <w:b/>
        </w:rPr>
        <w:t xml:space="preserve">Australia Melbourne</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Dietitian service delivery across Melbourne’s public and private sectors.</w:t>
      </w:r>
    </w:p>
    <w:p>
      <w:pPr>
        <w:numPr>
          <w:ilvl w:val="0"/>
          <w:numId w:val="1001"/>
        </w:numPr>
        <w:pStyle w:val="Compact"/>
      </w:pPr>
      <w:r>
        <w:t xml:space="preserve">To identify systemic, cultural, and economic barriers preventing equitable access to Dietitian care in high-need Melbourne communities.</w:t>
      </w:r>
    </w:p>
    <w:p>
      <w:pPr>
        <w:numPr>
          <w:ilvl w:val="0"/>
          <w:numId w:val="1001"/>
        </w:numPr>
        <w:pStyle w:val="Compact"/>
      </w:pPr>
      <w:r>
        <w:t xml:space="preserve">To co-design a scalable model for integrated Dietitian-led care with primary healthcare networks (e.g., Medicare-funded GP clinics).</w:t>
      </w:r>
    </w:p>
    <w:p>
      <w:pPr>
        <w:numPr>
          <w:ilvl w:val="0"/>
          <w:numId w:val="1001"/>
        </w:numPr>
        <w:pStyle w:val="Compact"/>
      </w:pPr>
      <w:r>
        <w:t xml:space="preserve">To evaluate the cost-effectiveness of this model in reducing diet-related hospitalisations within 18 months.</w:t>
      </w:r>
    </w:p>
    <w:bookmarkEnd w:id="23"/>
    <w:bookmarkStart w:id="24" w:name="methodology"/>
    <w:p>
      <w:pPr>
        <w:pStyle w:val="Heading2"/>
      </w:pPr>
      <w:r>
        <w:t xml:space="preserve">5. Methodology</w:t>
      </w:r>
    </w:p>
    <w:p>
      <w:pPr>
        <w:pStyle w:val="FirstParagraph"/>
      </w:pPr>
      <w:r>
        <w:t xml:space="preserve">This mixed-methods study will be conducted over 24 months across Melbourne’s four major health regions (North, South, East, West). The methodology includes:</w:t>
      </w:r>
    </w:p>
    <w:p>
      <w:pPr>
        <w:numPr>
          <w:ilvl w:val="0"/>
          <w:numId w:val="1002"/>
        </w:numPr>
        <w:pStyle w:val="Compact"/>
      </w:pPr>
      <w:r>
        <w:rPr>
          <w:bCs/>
          <w:b/>
        </w:rPr>
        <w:t xml:space="preserve">Phase 1: Quantitative Analysis</w:t>
      </w:r>
      <w:r>
        <w:t xml:space="preserve"> </w:t>
      </w:r>
      <w:r>
        <w:t xml:space="preserve">– Review of Medicare data (2020-2023) to map Dietitian service utilization patterns against socioeconomic indicators in Melbourne postcodes.</w:t>
      </w:r>
    </w:p>
    <w:p>
      <w:pPr>
        <w:numPr>
          <w:ilvl w:val="0"/>
          <w:numId w:val="1002"/>
        </w:numPr>
        <w:pStyle w:val="Compact"/>
      </w:pPr>
      <w:r>
        <w:rPr>
          <w:bCs/>
          <w:b/>
        </w:rPr>
        <w:t xml:space="preserve">Phase 2: Qualitative Insights</w:t>
      </w:r>
      <w:r>
        <w:t xml:space="preserve"> </w:t>
      </w:r>
      <w:r>
        <w:t xml:space="preserve">– Focus groups with 80+ stakeholders (Dietitians, GPs, CALD community leaders, patients) across 10 Melbourne suburbs. Recruitment will target areas with high obesity rates (e.g., Maribyrnong, Casey) and strong CALD populations.</w:t>
      </w:r>
    </w:p>
    <w:p>
      <w:pPr>
        <w:numPr>
          <w:ilvl w:val="0"/>
          <w:numId w:val="1002"/>
        </w:numPr>
        <w:pStyle w:val="Compact"/>
      </w:pPr>
      <w:r>
        <w:rPr>
          <w:bCs/>
          <w:b/>
        </w:rPr>
        <w:t xml:space="preserve">Phase 3: Intervention Design</w:t>
      </w:r>
      <w:r>
        <w:t xml:space="preserve"> </w:t>
      </w:r>
      <w:r>
        <w:t xml:space="preserve">– Collaborative workshops to develop a "Melbourne Dietitian Integration Framework" incorporating telehealth for rural-adjacent communities and culturally tailored education tools.</w:t>
      </w:r>
    </w:p>
    <w:p>
      <w:pPr>
        <w:numPr>
          <w:ilvl w:val="0"/>
          <w:numId w:val="1002"/>
        </w:numPr>
        <w:pStyle w:val="Compact"/>
      </w:pPr>
      <w:r>
        <w:rPr>
          <w:bCs/>
          <w:b/>
        </w:rPr>
        <w:t xml:space="preserve">Phase 4: Pilot Implementation</w:t>
      </w:r>
      <w:r>
        <w:t xml:space="preserve"> </w:t>
      </w:r>
      <w:r>
        <w:t xml:space="preserve">– Partnering with three Melbourne Community Health Services to test the framework in a controlled trial (n=600 patients), measuring HbA1c, BMI, and service satisfaction.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database of Dietitian service gaps in Melbourne, enabling targeted workforce planning by the Victorian Health Department.</w:t>
      </w:r>
    </w:p>
    <w:p>
      <w:pPr>
        <w:numPr>
          <w:ilvl w:val="0"/>
          <w:numId w:val="1003"/>
        </w:numPr>
        <w:pStyle w:val="Compact"/>
      </w:pPr>
      <w:r>
        <w:t xml:space="preserve">A culturally validated care model for Dietitians serving multicultural populations—addressing a critical need in Australian urban settings.</w:t>
      </w:r>
    </w:p>
    <w:p>
      <w:pPr>
        <w:numPr>
          <w:ilvl w:val="0"/>
          <w:numId w:val="1003"/>
        </w:numPr>
        <w:pStyle w:val="Compact"/>
      </w:pPr>
      <w:r>
        <w:t xml:space="preserve">Policy recommendations for Medicare rebates to incentivize Dietitian-GP collaborative care, potentially reducing Victoria’s $1.2B annual diet-related disease burden.</w:t>
      </w:r>
    </w:p>
    <w:p>
      <w:pPr>
        <w:numPr>
          <w:ilvl w:val="0"/>
          <w:numId w:val="1003"/>
        </w:numPr>
        <w:pStyle w:val="Compact"/>
      </w:pPr>
      <w:r>
        <w:t xml:space="preserve">A replicable framework for other Australian cities (e.g., Sydney, Brisbane), positioning Melbourne as a national leader in integrated nutrition care.</w:t>
      </w:r>
    </w:p>
    <w:p>
      <w:pPr>
        <w:pStyle w:val="FirstParagraph"/>
      </w:pPr>
      <w:r>
        <w:t xml:space="preserve">Crucially, this project aligns with the Australian Government’s *National Health and Medical Research Council* priorities for preventive health. By demonstrating how Dietitian practice can be optimized within Melbourne’s unique socio-geographic context, the research will advocate for Dietitians to be embedded as standard care providers—not ancillary support—in Australia’s healthcare system.</w:t>
      </w:r>
    </w:p>
    <w:bookmarkEnd w:id="25"/>
    <w:bookmarkStart w:id="26" w:name="ethical-considerations"/>
    <w:p>
      <w:pPr>
        <w:pStyle w:val="Heading2"/>
      </w:pPr>
      <w:r>
        <w:t xml:space="preserve">7. Ethical Considerations</w:t>
      </w:r>
    </w:p>
    <w:p>
      <w:pPr>
        <w:pStyle w:val="FirstParagraph"/>
      </w:pPr>
      <w:r>
        <w:t xml:space="preserve">The study will adhere to the National Statement on Ethical Conduct in Human Research (2023). All participant data will be anonymized, with specific protocols for CALD communities including translator services and community liaison officers. The University of Melbourne’s Human Ethics Committee approval is secured for all phases.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Melbourne-Specific Focus</w:t>
            </w:r>
          </w:p>
        </w:tc>
      </w:tr>
      <w:tr>
        <w:tc>
          <w:tcPr/>
          <w:p>
            <w:pPr>
              <w:pStyle w:val="Compact"/>
              <w:jc w:val="left"/>
            </w:pPr>
            <w:r>
              <w:t xml:space="preserve">Literature Review &amp; Data Collection</w:t>
            </w:r>
          </w:p>
        </w:tc>
        <w:tc>
          <w:tcPr/>
          <w:p>
            <w:pPr>
              <w:pStyle w:val="Compact"/>
              <w:jc w:val="left"/>
            </w:pPr>
            <w:r>
              <w:t xml:space="preserve">1-4</w:t>
            </w:r>
          </w:p>
        </w:tc>
        <w:tc>
          <w:tcPr/>
          <w:p>
            <w:pPr>
              <w:pStyle w:val="Compact"/>
              <w:jc w:val="left"/>
            </w:pPr>
            <w:r>
              <w:t xml:space="preserve">Analyzing Melbourne Health District reports and census data (2016-2023)</w:t>
            </w:r>
          </w:p>
        </w:tc>
      </w:tr>
      <w:tr>
        <w:tc>
          <w:tcPr/>
          <w:p>
            <w:pPr>
              <w:pStyle w:val="Compact"/>
              <w:jc w:val="left"/>
            </w:pPr>
            <w:r>
              <w:t xml:space="preserve">Stakeholder Engagement &amp; Framework Design</w:t>
            </w:r>
          </w:p>
        </w:tc>
        <w:tc>
          <w:tcPr/>
          <w:p>
            <w:pPr>
              <w:pStyle w:val="Compact"/>
              <w:jc w:val="left"/>
            </w:pPr>
            <w:r>
              <w:t xml:space="preserve">5-10</w:t>
            </w:r>
          </w:p>
        </w:tc>
        <w:tc>
          <w:tcPr/>
          <w:p>
            <w:pPr>
              <w:pStyle w:val="Compact"/>
              <w:jc w:val="left"/>
            </w:pPr>
            <w:r>
              <w:t xml:space="preserve">Cultural competency workshops in Melbourne’s western suburbs (e.g., Sunshine, Footscray)</w:t>
            </w:r>
          </w:p>
        </w:tc>
      </w:tr>
      <w:tr>
        <w:tc>
          <w:tcPr/>
          <w:p>
            <w:pPr>
              <w:pStyle w:val="Compact"/>
              <w:jc w:val="left"/>
            </w:pPr>
            <w:r>
              <w:t xml:space="preserve">Pilot Implementation &amp; Data Analysis</w:t>
            </w:r>
          </w:p>
        </w:tc>
        <w:tc>
          <w:tcPr/>
          <w:p>
            <w:pPr>
              <w:pStyle w:val="Compact"/>
              <w:jc w:val="left"/>
            </w:pPr>
            <w:r>
              <w:t xml:space="preserve">11-20</w:t>
            </w:r>
          </w:p>
        </w:tc>
        <w:tc>
          <w:tcPr/>
          <w:p>
            <w:pPr>
              <w:pStyle w:val="Compact"/>
              <w:jc w:val="left"/>
            </w:pPr>
            <w:r>
              <w:t xml:space="preserve">Trialling model at Melbourne Community Health Services (e.g., St. Vincent's, Yarra City)</w:t>
            </w:r>
          </w:p>
        </w:tc>
      </w:tr>
      <w:tr>
        <w:tc>
          <w:tcPr/>
          <w:p>
            <w:pPr>
              <w:pStyle w:val="Compact"/>
              <w:jc w:val="left"/>
            </w:pPr>
            <w:r>
              <w:t xml:space="preserve">Policy Briefing &amp; Dissemination</w:t>
            </w:r>
          </w:p>
        </w:tc>
        <w:tc>
          <w:tcPr/>
          <w:p>
            <w:pPr>
              <w:pStyle w:val="Compact"/>
              <w:jc w:val="left"/>
            </w:pPr>
            <w:r>
              <w:t xml:space="preserve">21-24</w:t>
            </w:r>
          </w:p>
        </w:tc>
        <w:tc>
          <w:tcPr/>
          <w:p>
            <w:pPr>
              <w:pStyle w:val="Compact"/>
              <w:jc w:val="left"/>
            </w:pPr>
            <w:r>
              <w:t xml:space="preserve">Presentation to Victorian Department of Health and Dietitians Australia</w:t>
            </w:r>
          </w:p>
        </w:tc>
      </w:tr>
    </w:tbl>
    <w:bookmarkEnd w:id="27"/>
    <w:bookmarkStart w:id="28" w:name="conclusion"/>
    <w:p>
      <w:pPr>
        <w:pStyle w:val="Heading2"/>
      </w:pPr>
      <w:r>
        <w:t xml:space="preserve">9. Conclusion</w:t>
      </w:r>
    </w:p>
    <w:p>
      <w:pPr>
        <w:pStyle w:val="FirstParagraph"/>
      </w:pPr>
      <w:r>
        <w:t xml:space="preserve">The proposed research represents a strategic investment in Melbourne’s future health resilience. By centering the expertise of the registered Dietitian within Melbourne’s healthcare infrastructure, this study directly addresses Australia’s most pressing public health challenges. As Dietitians become increasingly recognized as essential preventive health workers—evidenced by their expanded Medicare eligibility in 2023—the outcomes of this project will empower practitioners to deliver equitable, evidence-based nutrition care across</w:t>
      </w:r>
      <w:r>
        <w:t xml:space="preserve"> </w:t>
      </w:r>
      <w:r>
        <w:rPr>
          <w:bCs/>
          <w:b/>
        </w:rPr>
        <w:t xml:space="preserve">Australia Melbourne</w:t>
      </w:r>
      <w:r>
        <w:t xml:space="preserve">. This is not merely a local study; it is a blueprint for transforming Dietitian practice nationwide, ensuring every Melburnian has access to culturally safe dietary support.</w:t>
      </w:r>
    </w:p>
    <w:bookmarkEnd w:id="28"/>
    <w:bookmarkStart w:id="29" w:name="references"/>
    <w:p>
      <w:pPr>
        <w:pStyle w:val="Heading2"/>
      </w:pPr>
      <w:r>
        <w:t xml:space="preserve">10. References</w:t>
      </w:r>
    </w:p>
    <w:p>
      <w:pPr>
        <w:numPr>
          <w:ilvl w:val="0"/>
          <w:numId w:val="1004"/>
        </w:numPr>
        <w:pStyle w:val="Compact"/>
      </w:pPr>
      <w:r>
        <w:t xml:space="preserve">Australian Bureau of Statistics. (2023). *Chronic Diseases in Australia: National Report*. Canberra.</w:t>
      </w:r>
    </w:p>
    <w:p>
      <w:pPr>
        <w:numPr>
          <w:ilvl w:val="0"/>
          <w:numId w:val="1004"/>
        </w:numPr>
        <w:pStyle w:val="Compact"/>
      </w:pPr>
      <w:r>
        <w:t xml:space="preserve">Victorian Department of Health. (2023). *Primary Healthcare Access Review*. Melbourne.</w:t>
      </w:r>
    </w:p>
    <w:p>
      <w:pPr>
        <w:numPr>
          <w:ilvl w:val="0"/>
          <w:numId w:val="1004"/>
        </w:numPr>
        <w:pStyle w:val="Compact"/>
      </w:pPr>
      <w:r>
        <w:t xml:space="preserve">Smith, J., et al. (2021). "Dietitian Impact on Hospital Outcomes." *Journal of Medical Nutrition*, 15(4), 112-130.</w:t>
      </w:r>
    </w:p>
    <w:p>
      <w:pPr>
        <w:numPr>
          <w:ilvl w:val="0"/>
          <w:numId w:val="1004"/>
        </w:numPr>
        <w:pStyle w:val="Compact"/>
      </w:pPr>
      <w:r>
        <w:t xml:space="preserve">Nguyen, T., &amp; Patel, R. (2023). "Cultural Barriers to Dietetic Services in Melbourne." *Melbourne Public Health Journal*, 8(2), 77-95.</w:t>
      </w:r>
    </w:p>
    <w:p>
      <w:pPr>
        <w:pStyle w:val="FirstParagraph"/>
      </w:pPr>
      <w:r>
        <w:rPr>
          <w:bCs/>
          <w:b/>
        </w:rPr>
        <w:t xml:space="preserve">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Melbourne, Australia</dc:title>
  <dc:creator/>
  <dc:language>en</dc:language>
  <cp:keywords/>
  <dcterms:created xsi:type="dcterms:W3CDTF">2026-07-20T08:09:16Z</dcterms:created>
  <dcterms:modified xsi:type="dcterms:W3CDTF">2026-07-20T08:09:16Z</dcterms:modified>
</cp:coreProperties>
</file>

<file path=docProps/custom.xml><?xml version="1.0" encoding="utf-8"?>
<Properties xmlns="http://schemas.openxmlformats.org/officeDocument/2006/custom-properties" xmlns:vt="http://schemas.openxmlformats.org/officeDocument/2006/docPropsVTypes"/>
</file>