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Through</w:t>
      </w:r>
      <w:r>
        <w:t xml:space="preserve"> </w:t>
      </w:r>
      <w:r>
        <w:t xml:space="preserve">Dietitian-Led</w:t>
      </w:r>
      <w:r>
        <w:t xml:space="preserve"> </w:t>
      </w:r>
      <w:r>
        <w:t xml:space="preserve">Interventions</w:t>
      </w:r>
      <w:r>
        <w:t xml:space="preserve"> </w:t>
      </w:r>
      <w:r>
        <w:t xml:space="preserve">in</w:t>
      </w:r>
      <w:r>
        <w:t xml:space="preserve"> </w:t>
      </w:r>
      <w:r>
        <w:t xml:space="preserve">Rome,</w:t>
      </w:r>
      <w:r>
        <w:t xml:space="preserve"> </w:t>
      </w:r>
      <w:r>
        <w:t xml:space="preserve">Italy</w:t>
      </w:r>
    </w:p>
    <w:bookmarkStart w:id="28" w:name="X1e69026218b4037280a5d591bd04d63b49c9e35"/>
    <w:p>
      <w:pPr>
        <w:pStyle w:val="Heading1"/>
      </w:pPr>
      <w:r>
        <w:t xml:space="preserve">Research Proposal: Advancing Nutritional Care Through Dietitian-Led Interventions in Rome, Italy</w:t>
      </w:r>
    </w:p>
    <w:bookmarkStart w:id="20" w:name="introduction-and-background"/>
    <w:p>
      <w:pPr>
        <w:pStyle w:val="Heading2"/>
      </w:pPr>
      <w:r>
        <w:t xml:space="preserve">1. Introduction and Background</w:t>
      </w:r>
    </w:p>
    <w:p>
      <w:pPr>
        <w:pStyle w:val="FirstParagraph"/>
      </w:pPr>
      <w:r>
        <w:t xml:space="preserve">The city of Rome, Italy, presents a unique confluence of rich culinary heritage and contemporary public health challenges that demand specialized nutritional expertise. As one of Europe's most populous metropolitan areas with over 4.3 million residents, Rome faces rising rates of diet-related chronic diseases—obesity (affecting 25% of adults), type 2 diabetes (prevalence at 10.8%), and cardiovascular conditions—that strain Italy's National Health Service (SSN). Despite Italy's globally renowned Mediterranean diet, urbanization has eroded traditional eating patterns, leading to increased consumption of processed foods and sedentary lifestyles. This research addresses a critical gap: the underutilization of</w:t>
      </w:r>
      <w:r>
        <w:t xml:space="preserve"> </w:t>
      </w:r>
      <w:r>
        <w:rPr>
          <w:bCs/>
          <w:b/>
        </w:rPr>
        <w:t xml:space="preserve">Dietitian</w:t>
      </w:r>
      <w:r>
        <w:t xml:space="preserve"> </w:t>
      </w:r>
      <w:r>
        <w:t xml:space="preserve">professionals in primary healthcare settings across Rome. While registered Dietitians (Dietisti) are legally recognized in Italy since 2018, their integration into Rome's healthcare system remains fragmented, particularly outside specialized hospitals. This proposal outlines a comprehensive study to evaluate and optimize Dietitian-led interventions within the Roman context, aligning with Italy's national health priorities and Rome's cultural identity.</w:t>
      </w:r>
    </w:p>
    <w:bookmarkEnd w:id="20"/>
    <w:bookmarkStart w:id="21" w:name="problem-statement"/>
    <w:p>
      <w:pPr>
        <w:pStyle w:val="Heading2"/>
      </w:pPr>
      <w:r>
        <w:t xml:space="preserve">2. Problem Statement</w:t>
      </w:r>
    </w:p>
    <w:p>
      <w:pPr>
        <w:pStyle w:val="FirstParagraph"/>
      </w:pPr>
      <w:r>
        <w:t xml:space="preserve">Rome’s healthcare infrastructure lacks systematic Dietitian integration despite evidence that early nutritional intervention reduces hospital readmissions by 30% and lowers long-term care costs by €1,800 per patient annually (Italian Ministry of Health, 2022). Current primary care centers in Rome often rely on general practitioners without specialized dietary guidance, resulting in suboptimal management of chronic conditions. Compounding this is the cultural disconnect between modern dietary advice and Rome’s gastronomic traditions—many residents perceive "diet" as restrictive rather than holistic. The absence of standardized Dietitian protocols across Rome's 68 healthcare districts exacerbates health disparities, particularly among elderly populations in disadvantaged neighborhoods like Ponte Mammolo and Prenestino-Laziali. Without tailored approaches that honor Italian culinary culture while addressing modern health needs, Rome's public health goals remain unattainable.</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design and implement a culturally sensitive Dietitian-led nutritional intervention model for chronic disease management in Rome’s primary healthcare network.</w:t>
      </w:r>
    </w:p>
    <w:p>
      <w:pPr>
        <w:pStyle w:val="BodyText"/>
      </w:pPr>
      <w:r>
        <w:rPr>
          <w:bCs/>
          <w:b/>
        </w:rPr>
        <w:t xml:space="preserve">Secondary Objectives:</w:t>
      </w:r>
    </w:p>
    <w:p>
      <w:pPr>
        <w:numPr>
          <w:ilvl w:val="0"/>
          <w:numId w:val="1001"/>
        </w:numPr>
        <w:pStyle w:val="Compact"/>
      </w:pPr>
      <w:r>
        <w:t xml:space="preserve">Evaluate the impact of Dietitian consultations on glycaemic control (HbA1c) and BMI in 200 type 2 diabetes patients across five Rome community health centers.</w:t>
      </w:r>
    </w:p>
    <w:p>
      <w:pPr>
        <w:numPr>
          <w:ilvl w:val="0"/>
          <w:numId w:val="1001"/>
        </w:numPr>
        <w:pStyle w:val="Compact"/>
      </w:pPr>
      <w:r>
        <w:t xml:space="preserve">Assess patient adherence to dietary recommendations through a Rome-specific Mediterranean diet framework that incorporates local ingredients (e.g., Roman artichokes, pecorino romano).</w:t>
      </w:r>
    </w:p>
    <w:p>
      <w:pPr>
        <w:numPr>
          <w:ilvl w:val="0"/>
          <w:numId w:val="1001"/>
        </w:numPr>
        <w:pStyle w:val="Compact"/>
      </w:pPr>
      <w:r>
        <w:t xml:space="preserve">Develop training modules for Italian Dietitians to bridge cultural gaps in patient communication, using Rome’s foodways as therapeutic tools.</w:t>
      </w:r>
    </w:p>
    <w:bookmarkEnd w:id="22"/>
    <w:bookmarkStart w:id="23" w:name="X575908b9a4b1916446bc673c095f97e0349d094"/>
    <w:p>
      <w:pPr>
        <w:pStyle w:val="Heading2"/>
      </w:pPr>
      <w:r>
        <w:t xml:space="preserve">4. Literature Review (Contextualizing Italy Rome)</w:t>
      </w:r>
    </w:p>
    <w:p>
      <w:pPr>
        <w:pStyle w:val="FirstParagraph"/>
      </w:pPr>
      <w:r>
        <w:t xml:space="preserve">Existing studies on Italian Dietitians highlight their efficacy in hospital settings but neglect urban community contexts (Ricci et al., 2021). While the Mediterranean diet is UNESCO-recognized, its application in Rome remains theoretical without practitioner-led implementation. A 2023 pilot in Naples demonstrated that Dietitian-led cooking classes using local produce increased adherence by 45%—a model adaptable for Rome. However, no research has examined how Rome’s unique food culture (e.g.,</w:t>
      </w:r>
      <w:r>
        <w:t xml:space="preserve"> </w:t>
      </w:r>
      <w:r>
        <w:rPr>
          <w:iCs/>
          <w:i/>
        </w:rPr>
        <w:t xml:space="preserve">cacio e pepe</w:t>
      </w:r>
      <w:r>
        <w:t xml:space="preserve">,</w:t>
      </w:r>
      <w:r>
        <w:t xml:space="preserve"> </w:t>
      </w:r>
      <w:r>
        <w:rPr>
          <w:iCs/>
          <w:i/>
        </w:rPr>
        <w:t xml:space="preserve">supplì</w:t>
      </w:r>
      <w:r>
        <w:t xml:space="preserve">) can be re-engineered for therapeutic benefit. Italy’s National Prevention Plan (2021–2030) emphasizes dietitians as "key players in health promotion," yet Rome lags in resource allocation. This research fills that void by grounding interventions in Rome’s socio-cultural fabric.</w:t>
      </w:r>
    </w:p>
    <w:bookmarkEnd w:id="23"/>
    <w:bookmarkStart w:id="24" w:name="methodology"/>
    <w:p>
      <w:pPr>
        <w:pStyle w:val="Heading2"/>
      </w:pPr>
      <w:r>
        <w:t xml:space="preserve">5. Methodology</w:t>
      </w:r>
    </w:p>
    <w:p>
      <w:pPr>
        <w:pStyle w:val="FirstParagraph"/>
      </w:pPr>
      <w:r>
        <w:t xml:space="preserve">The study employs a mixed-methods approach across 18 months:</w:t>
      </w:r>
    </w:p>
    <w:p>
      <w:pPr>
        <w:numPr>
          <w:ilvl w:val="0"/>
          <w:numId w:val="1002"/>
        </w:numPr>
        <w:pStyle w:val="Compact"/>
      </w:pPr>
      <w:r>
        <w:rPr>
          <w:bCs/>
          <w:b/>
        </w:rPr>
        <w:t xml:space="preserve">Phase 1 (Months 1–4):</w:t>
      </w:r>
      <w:r>
        <w:t xml:space="preserve"> </w:t>
      </w:r>
      <w:r>
        <w:t xml:space="preserve">Qualitative focus groups with 60 Rome residents (stratified by age, income, neighborhood) to identify cultural barriers to dietary change. Dietitians will analyze local food traditions through the lens of nutritional science.</w:t>
      </w:r>
    </w:p>
    <w:p>
      <w:pPr>
        <w:numPr>
          <w:ilvl w:val="0"/>
          <w:numId w:val="1002"/>
        </w:numPr>
        <w:pStyle w:val="Compact"/>
      </w:pPr>
      <w:r>
        <w:rPr>
          <w:bCs/>
          <w:b/>
        </w:rPr>
        <w:t xml:space="preserve">Phase 2 (Months 5–12):</w:t>
      </w:r>
      <w:r>
        <w:t xml:space="preserve"> </w:t>
      </w:r>
      <w:r>
        <w:t xml:space="preserve">Randomized controlled trial with 200 type 2 diabetes patients across five Rome healthcare centers (intervention: standard care + biweekly Dietitian sessions; control: standard care). Primary outcome: HbA1c reduction at 6 months. Secondary outcomes: BMI, dietary adherence (via food diaries), and patient satisfaction surveys.</w:t>
      </w:r>
    </w:p>
    <w:p>
      <w:pPr>
        <w:numPr>
          <w:ilvl w:val="0"/>
          <w:numId w:val="1002"/>
        </w:numPr>
        <w:pStyle w:val="Compact"/>
      </w:pPr>
      <w:r>
        <w:rPr>
          <w:bCs/>
          <w:b/>
        </w:rPr>
        <w:t xml:space="preserve">Phase 3 (Months 13–18):</w:t>
      </w:r>
      <w:r>
        <w:t xml:space="preserve"> </w:t>
      </w:r>
      <w:r>
        <w:t xml:space="preserve">Co-creation workshop with Rome-based Dietitians to develop a scalable "Roman Nutrition Framework" integrating seasonal produce, traditional cooking methods, and digital tools (app-based meal planning with local market data).</w:t>
      </w:r>
    </w:p>
    <w:p>
      <w:pPr>
        <w:pStyle w:val="FirstParagraph"/>
      </w:pPr>
      <w:r>
        <w:t xml:space="preserve">Data analysis will use SPSS for quantitative metrics and NVivo for qualitative themes. Ethical approval will be secured from Sapienza University of Rome’s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(1) A validated model demonstrating 20% greater HbA1c improvement in Dietitian-led cohorts versus control groups; (2) A culturally adaptive dietary protocol for Rome that maintains gastronomic identity while improving health metrics; and (3) Policy recommendations for the Lazio Regional Health Authority to embed Dietitians in all community health centers by 2027. Crucially, the study will position</w:t>
      </w:r>
      <w:r>
        <w:t xml:space="preserve"> </w:t>
      </w:r>
      <w:r>
        <w:rPr>
          <w:bCs/>
          <w:b/>
        </w:rPr>
        <w:t xml:space="preserve">Dietitian</w:t>
      </w:r>
      <w:r>
        <w:t xml:space="preserve"> </w:t>
      </w:r>
      <w:r>
        <w:t xml:space="preserve">as a cornerstone of preventive care within</w:t>
      </w:r>
      <w:r>
        <w:t xml:space="preserve"> </w:t>
      </w:r>
      <w:r>
        <w:rPr>
          <w:bCs/>
          <w:b/>
        </w:rPr>
        <w:t xml:space="preserve">Italy Rome</w:t>
      </w:r>
      <w:r>
        <w:t xml:space="preserve">'s healthcare ecosystem. By reframing dietary advice through Rome’s culinary heritage—such as adapting Roman tomato sauces for low-sodium diets—the intervention addresses both clinical needs and cultural pride. This approach could reduce preventable hospitalizations by 15%, saving €2.7 million annually across the Lazio region (based on SSN cost data).</w:t>
      </w:r>
    </w:p>
    <w:bookmarkEnd w:id="25"/>
    <w:bookmarkStart w:id="26" w:name="timeline-and-budget"/>
    <w:p>
      <w:pPr>
        <w:pStyle w:val="Heading2"/>
      </w:pPr>
      <w:r>
        <w:t xml:space="preserve">7.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w:t>
            </w:r>
          </w:p>
        </w:tc>
      </w:tr>
      <w:tr>
        <w:tc>
          <w:tcPr/>
          <w:p>
            <w:pPr>
              <w:pStyle w:val="Compact"/>
              <w:jc w:val="left"/>
            </w:pPr>
            <w:r>
              <w:t xml:space="preserve">Research Design &amp; Ethics Approval</w:t>
            </w:r>
          </w:p>
        </w:tc>
        <w:tc>
          <w:tcPr/>
          <w:p>
            <w:pPr>
              <w:pStyle w:val="Compact"/>
              <w:jc w:val="left"/>
            </w:pPr>
            <w:r>
              <w:t xml:space="preserve">Months 1–3</w:t>
            </w:r>
          </w:p>
        </w:tc>
        <w:tc>
          <w:tcPr/>
          <w:p>
            <w:pPr>
              <w:pStyle w:val="Compact"/>
              <w:jc w:val="left"/>
            </w:pPr>
            <w:r>
              <w:t xml:space="preserve">15,000</w:t>
            </w:r>
          </w:p>
        </w:tc>
      </w:tr>
      <w:tr>
        <w:tc>
          <w:tcPr/>
          <w:p>
            <w:pPr>
              <w:pStyle w:val="Compact"/>
              <w:jc w:val="left"/>
            </w:pPr>
            <w:r>
              <w:t xml:space="preserve">Qualitative Fieldwork (Focus Groups)</w:t>
            </w:r>
          </w:p>
        </w:tc>
        <w:tc>
          <w:tcPr/>
          <w:p>
            <w:pPr>
              <w:pStyle w:val="Compact"/>
              <w:jc w:val="left"/>
            </w:pPr>
            <w:r>
              <w:t xml:space="preserve">Months 2–4</w:t>
            </w:r>
          </w:p>
        </w:tc>
        <w:tc>
          <w:tcPr/>
          <w:p>
            <w:pPr>
              <w:pStyle w:val="Compact"/>
              <w:jc w:val="left"/>
            </w:pPr>
            <w:r>
              <w:t xml:space="preserve">25,000</w:t>
            </w:r>
          </w:p>
        </w:tc>
      </w:tr>
      <w:tr>
        <w:tc>
          <w:tcPr/>
          <w:p>
            <w:pPr>
              <w:pStyle w:val="Compact"/>
              <w:jc w:val="left"/>
            </w:pPr>
            <w:r>
              <w:t xml:space="preserve">Intervention Implementation &amp; Data Collection</w:t>
            </w:r>
          </w:p>
        </w:tc>
        <w:tc>
          <w:tcPr/>
          <w:p>
            <w:pPr>
              <w:pStyle w:val="Compact"/>
              <w:jc w:val="left"/>
            </w:pPr>
            <w:r>
              <w:t xml:space="preserve">Months 5–12</w:t>
            </w:r>
          </w:p>
        </w:tc>
        <w:tc>
          <w:tcPr/>
          <w:p>
            <w:pPr>
              <w:pStyle w:val="Compact"/>
              <w:jc w:val="left"/>
            </w:pPr>
            <w:r>
              <w:t xml:space="preserve">180,000</w:t>
            </w:r>
          </w:p>
        </w:tc>
      </w:tr>
      <w:tr>
        <w:tc>
          <w:tcPr/>
          <w:p>
            <w:pPr>
              <w:pStyle w:val="Compact"/>
              <w:jc w:val="left"/>
            </w:pPr>
            <w:r>
              <w:t xml:space="preserve">Data Analysis &amp; Framework Development</w:t>
            </w:r>
          </w:p>
        </w:tc>
        <w:tc>
          <w:tcPr/>
          <w:p>
            <w:pPr>
              <w:pStyle w:val="Compact"/>
              <w:jc w:val="left"/>
            </w:pPr>
            <w:r>
              <w:t xml:space="preserve">Months 13–16</w:t>
            </w:r>
          </w:p>
        </w:tc>
        <w:tc>
          <w:tcPr/>
          <w:p>
            <w:pPr>
              <w:pStyle w:val="Compact"/>
              <w:jc w:val="left"/>
            </w:pPr>
            <w:r>
              <w:t xml:space="preserve">45,000</w:t>
            </w:r>
          </w:p>
        </w:tc>
      </w:tr>
      <w:tr>
        <w:tc>
          <w:tcPr/>
          <w:p>
            <w:pPr>
              <w:pStyle w:val="Compact"/>
              <w:jc w:val="left"/>
            </w:pPr>
            <w:r>
              <w:t xml:space="preserve">Total Project Cost</w:t>
            </w:r>
          </w:p>
        </w:tc>
        <w:tc>
          <w:tcPr/>
          <w:p>
            <w:pPr>
              <w:pStyle w:val="Compact"/>
              <w:jc w:val="left"/>
            </w:pPr>
            <w:r>
              <w:t xml:space="preserve">€265,000</w:t>
            </w:r>
          </w:p>
        </w:tc>
        <w:tc>
          <w:tcPr/>
          <w:p>
            <w:pPr>
              <w:pStyle w:val="Compact"/>
            </w:pPr>
          </w:p>
        </w:tc>
      </w:tr>
    </w:tbl>
    <w:bookmarkEnd w:id="26"/>
    <w:bookmarkStart w:id="27" w:name="Xb5c8df669d327795fa7fd168278466fafec5ee7"/>
    <w:p>
      <w:pPr>
        <w:pStyle w:val="Heading2"/>
      </w:pPr>
      <w:r>
        <w:t xml:space="preserve">8. Conclusion: A Cultural Imperative for Rome’s Health Future</w:t>
      </w:r>
    </w:p>
    <w:p>
      <w:pPr>
        <w:pStyle w:val="FirstParagraph"/>
      </w:pPr>
      <w:r>
        <w:t xml:space="preserve">This research proposal transcends clinical study to become a cultural intervention. By centering the</w:t>
      </w:r>
      <w:r>
        <w:t xml:space="preserve"> </w:t>
      </w:r>
      <w:r>
        <w:rPr>
          <w:bCs/>
          <w:b/>
        </w:rPr>
        <w:t xml:space="preserve">Dietitian</w:t>
      </w:r>
      <w:r>
        <w:t xml:space="preserve"> </w:t>
      </w:r>
      <w:r>
        <w:t xml:space="preserve">as both scientific expert and cultural steward in</w:t>
      </w:r>
      <w:r>
        <w:t xml:space="preserve"> </w:t>
      </w:r>
      <w:r>
        <w:rPr>
          <w:bCs/>
          <w:b/>
        </w:rPr>
        <w:t xml:space="preserve">Italy Rome</w:t>
      </w:r>
      <w:r>
        <w:t xml:space="preserve">, we affirm that nutritional health cannot be divorced from identity. The Mediterranean diet’s power lies not merely in its ingredients but in how they are woven into daily life—a reality deeply rooted in Rome’s history. This project will empower Dietitians to transform "diet" from a medical directive into a celebration of Roman culinary legacy, fostering sustainable health outcomes that honor the city's soul. With Italy committing to 50% of primary care professionals trained in nutrition by 2030 (National Health Plan), this Rome-focused model offers a replicable blueprint for cities worldwide. In doing so, it advances not just public health—but the very essence of Roman well-being: eating with knowledge, community, and joy.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Care Through Dietitian-Led Interventions in Rome, Italy</dc:title>
  <dc:creator/>
  <dc:language>en</dc:language>
  <cp:keywords/>
  <dcterms:created xsi:type="dcterms:W3CDTF">2025-12-09T15:52:34Z</dcterms:created>
  <dcterms:modified xsi:type="dcterms:W3CDTF">2025-12-09T15:52:34Z</dcterms:modified>
</cp:coreProperties>
</file>

<file path=docProps/custom.xml><?xml version="1.0" encoding="utf-8"?>
<Properties xmlns="http://schemas.openxmlformats.org/officeDocument/2006/custom-properties" xmlns:vt="http://schemas.openxmlformats.org/officeDocument/2006/docPropsVTypes"/>
</file>