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Dietary</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49d3b6574082f10584d6e8219f7275a7702f470"/>
    <w:p>
      <w:pPr>
        <w:pStyle w:val="Heading1"/>
      </w:pPr>
      <w:r>
        <w:t xml:space="preserve">Research Proposal: Enhancing Nutritional Well-being Through Registered Dietitians in Riyadh, Saudi Arabia</w:t>
      </w:r>
    </w:p>
    <w:bookmarkStart w:id="20" w:name="introduction"/>
    <w:p>
      <w:pPr>
        <w:pStyle w:val="Heading2"/>
      </w:pPr>
      <w:r>
        <w:t xml:space="preserve">1. Introduction</w:t>
      </w:r>
    </w:p>
    <w:p>
      <w:pPr>
        <w:pStyle w:val="FirstParagraph"/>
      </w:pPr>
      <w:r>
        <w:t xml:space="preserve">In the rapidly modernizing landscape of</w:t>
      </w:r>
      <w:r>
        <w:t xml:space="preserve"> </w:t>
      </w:r>
      <w:r>
        <w:rPr>
          <w:bCs/>
          <w:b/>
        </w:rPr>
        <w:t xml:space="preserve">Saudi Arabia Riyadh</w:t>
      </w:r>
      <w:r>
        <w:t xml:space="preserve">, urbanization and lifestyle shifts have precipitated a significant rise in diet-related health challenges. With obesity rates exceeding 35% among adults and diabetes prevalence reaching 18.7%, the Kingdom's Vision 2030 health priorities demand innovative nutritional interventions. This</w:t>
      </w:r>
      <w:r>
        <w:t xml:space="preserve"> </w:t>
      </w:r>
      <w:r>
        <w:rPr>
          <w:bCs/>
          <w:b/>
        </w:rPr>
        <w:t xml:space="preserve">Research Proposal</w:t>
      </w:r>
      <w:r>
        <w:t xml:space="preserve"> </w:t>
      </w:r>
      <w:r>
        <w:t xml:space="preserve">addresses a critical gap: the underutilization of qualified</w:t>
      </w:r>
      <w:r>
        <w:t xml:space="preserve"> </w:t>
      </w:r>
      <w:r>
        <w:rPr>
          <w:bCs/>
          <w:b/>
        </w:rPr>
        <w:t xml:space="preserve">Dietitian</w:t>
      </w:r>
      <w:r>
        <w:t xml:space="preserve"> </w:t>
      </w:r>
      <w:r>
        <w:t xml:space="preserve">professionals in primary healthcare settings across Riyadh. Unlike general nutrition advice, evidence-based dietary management by certified Dietitians can reduce chronic disease burden while aligning with Saudi cultural and religious frameworks. This study proposes an interdisciplinary framework to integrate Dietitians into Riyadh's public health infrastructure, targeting high-risk populations in underserved communities.</w:t>
      </w:r>
    </w:p>
    <w:bookmarkEnd w:id="20"/>
    <w:bookmarkStart w:id="21" w:name="problem-statement-significance"/>
    <w:p>
      <w:pPr>
        <w:pStyle w:val="Heading2"/>
      </w:pPr>
      <w:r>
        <w:t xml:space="preserve">2. Problem Statement &amp; Significance</w:t>
      </w:r>
    </w:p>
    <w:p>
      <w:pPr>
        <w:pStyle w:val="FirstParagraph"/>
      </w:pPr>
      <w:r>
        <w:t xml:space="preserve">Riyadh's healthcare system currently lacks structured roles for Dietitians despite WHO recommendations for 1 dietitian per 10,000 population – a ratio far below the Kingdom's current 1:55,000. This deficiency manifests in fragmented diabetes management (only 47% of diabetic patients receive dietary counseling) and rising metabolic syndromes among youth. Crucially, cultural nuances remain unaddressed; traditional Saudi diets rich in carbohydrates and fats are often mismanaged through generic global guidelines that ignore religious practices like Ramadan fasting protocols or gender-specific dietary preferences. This</w:t>
      </w:r>
      <w:r>
        <w:t xml:space="preserve"> </w:t>
      </w:r>
      <w:r>
        <w:rPr>
          <w:bCs/>
          <w:b/>
        </w:rPr>
        <w:t xml:space="preserve">Research Proposal</w:t>
      </w:r>
      <w:r>
        <w:t xml:space="preserve"> </w:t>
      </w:r>
      <w:r>
        <w:t xml:space="preserve">directly responds to the Ministry of Health's 2023 National Strategy for Chronic Disease Prevention by positioning the</w:t>
      </w:r>
      <w:r>
        <w:t xml:space="preserve"> </w:t>
      </w:r>
      <w:r>
        <w:rPr>
          <w:bCs/>
          <w:b/>
        </w:rPr>
        <w:t xml:space="preserve">Dietitian</w:t>
      </w:r>
      <w:r>
        <w:t xml:space="preserve"> </w:t>
      </w:r>
      <w:r>
        <w:t xml:space="preserve">as a central figure in culturally competent care within</w:t>
      </w:r>
      <w:r>
        <w:t xml:space="preserve"> </w:t>
      </w:r>
      <w:r>
        <w:rPr>
          <w:bCs/>
          <w:b/>
        </w:rPr>
        <w:t xml:space="preserve">Saudi Arabia Riyadh</w:t>
      </w:r>
      <w:r>
        <w:t xml:space="preserve">.</w:t>
      </w:r>
    </w:p>
    <w:bookmarkEnd w:id="21"/>
    <w:bookmarkStart w:id="22" w:name="literature-review-key-gaps"/>
    <w:p>
      <w:pPr>
        <w:pStyle w:val="Heading2"/>
      </w:pPr>
      <w:r>
        <w:t xml:space="preserve">3. Literature Review (Key Gaps)</w:t>
      </w:r>
    </w:p>
    <w:p>
      <w:pPr>
        <w:pStyle w:val="FirstParagraph"/>
      </w:pPr>
      <w:r>
        <w:t xml:space="preserve">Existing studies on nutrition in the Gulf region focus on epidemiology but neglect professional workforce integration. A 2022 Saudi Journal of Medicine review noted that only 15% of hospitals in Riyadh employ full-time Dietitians, with most roles limited to hospital kitchens rather than clinical practice. Cross-cultural research from UAE and Qatar reveals successful models where Dietitians collaborate with community health workers (CHWs) to deliver tailored interventions – yet no such framework exists in Riyadh. Critically, Saudi-specific barriers include: 1) Limited national certification standards for Dietitians, 2) Low public awareness of their clinical scope, and 3) Inconsistent reimbursement systems under the unified health insurance program. This</w:t>
      </w:r>
      <w:r>
        <w:t xml:space="preserve"> </w:t>
      </w:r>
      <w:r>
        <w:rPr>
          <w:bCs/>
          <w:b/>
        </w:rPr>
        <w:t xml:space="preserve">Research Proposal</w:t>
      </w:r>
      <w:r>
        <w:t xml:space="preserve"> </w:t>
      </w:r>
      <w:r>
        <w:t xml:space="preserve">synthesizes these gaps to design a Riyadh-specific implementation pathway.</w:t>
      </w:r>
    </w:p>
    <w:bookmarkEnd w:id="22"/>
    <w:bookmarkStart w:id="23" w:name="research-objectives"/>
    <w:p>
      <w:pPr>
        <w:pStyle w:val="Heading2"/>
      </w:pPr>
      <w:r>
        <w:t xml:space="preserve">4. Research Objectives</w:t>
      </w:r>
    </w:p>
    <w:p>
      <w:pPr>
        <w:numPr>
          <w:ilvl w:val="0"/>
          <w:numId w:val="1001"/>
        </w:numPr>
        <w:pStyle w:val="Compact"/>
      </w:pPr>
      <w:r>
        <w:t xml:space="preserve">To assess current Dietitian workforce capacity, training gaps, and integration challenges within Riyadh's public healthcare facilities (King Khalid Hospital, Al-Hada Hospital, and 3 primary care centers).</w:t>
      </w:r>
    </w:p>
    <w:p>
      <w:pPr>
        <w:numPr>
          <w:ilvl w:val="0"/>
          <w:numId w:val="1001"/>
        </w:numPr>
        <w:pStyle w:val="Compact"/>
      </w:pPr>
      <w:r>
        <w:t xml:space="preserve">To co-develop a culturally responsive dietary intervention toolkit with Saudi Dietitians and community stakeholders, incorporating Ramadan nutrition protocols and gender-inclusive counseling models.</w:t>
      </w:r>
    </w:p>
    <w:p>
      <w:pPr>
        <w:numPr>
          <w:ilvl w:val="0"/>
          <w:numId w:val="1001"/>
        </w:numPr>
        <w:pStyle w:val="Compact"/>
      </w:pPr>
      <w:r>
        <w:t xml:space="preserve">To evaluate the feasibility of integrating Dietitians into Riyadh's existing Community Health Centers (CHCs) through a 12-month pilot program targeting 300 high-risk patients (diabetes, obesity).</w:t>
      </w:r>
    </w:p>
    <w:p>
      <w:pPr>
        <w:numPr>
          <w:ilvl w:val="0"/>
          <w:numId w:val="1001"/>
        </w:numPr>
        <w:pStyle w:val="Compact"/>
      </w:pPr>
      <w:r>
        <w:t xml:space="preserve">To quantify cost-effectiveness compared to current standard care using clinical metrics (HbA1c reduction, BMI changes) and healthcare utilization data.</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contextual-assessment-months-1-4"/>
    <w:p>
      <w:pPr>
        <w:pStyle w:val="Heading3"/>
      </w:pPr>
      <w:r>
        <w:t xml:space="preserve">Phase 1: Contextual Assessment (Months 1-4)</w:t>
      </w:r>
    </w:p>
    <w:p>
      <w:pPr>
        <w:numPr>
          <w:ilvl w:val="0"/>
          <w:numId w:val="1002"/>
        </w:numPr>
        <w:pStyle w:val="Compact"/>
      </w:pPr>
      <w:r>
        <w:rPr>
          <w:iCs/>
          <w:i/>
        </w:rPr>
        <w:t xml:space="preserve">Quantitative:</w:t>
      </w:r>
      <w:r>
        <w:t xml:space="preserve"> </w:t>
      </w:r>
      <w:r>
        <w:t xml:space="preserve">Survey of 250 Riyadh healthcare providers on Dietitian utilization barriers; analysis of MOH databases for diet-related hospital readmissions.</w:t>
      </w:r>
    </w:p>
    <w:p>
      <w:pPr>
        <w:numPr>
          <w:ilvl w:val="0"/>
          <w:numId w:val="1002"/>
        </w:numPr>
        <w:pStyle w:val="Compact"/>
      </w:pPr>
      <w:r>
        <w:rPr>
          <w:iCs/>
          <w:i/>
        </w:rPr>
        <w:t xml:space="preserve">Qualitative:</w:t>
      </w:r>
      <w:r>
        <w:t xml:space="preserve"> </w:t>
      </w:r>
      <w:r>
        <w:t xml:space="preserve">Focus groups with 60 patients (30 males, 30 females) across Riyadh neighborhoods to identify cultural dietary preferences and access challenges.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Collaborative workshop with the Saudi Dietitians Association and Ministry of Health to adapt evidence-based tools (e.g., ADA guidelines) for Riyadh's context.</w:t>
      </w:r>
    </w:p>
    <w:p>
      <w:pPr>
        <w:numPr>
          <w:ilvl w:val="0"/>
          <w:numId w:val="1003"/>
        </w:numPr>
        <w:pStyle w:val="Compact"/>
      </w:pPr>
      <w:r>
        <w:t xml:space="preserve">Development of Ramadan-specific dietary plans incorporating fasting safety protocols approved by Islamic Fatwa Council.</w:t>
      </w:r>
    </w:p>
    <w:bookmarkEnd w:id="25"/>
    <w:bookmarkStart w:id="26" w:name="Xc5e69da26bc9d7cfd4251ba73feeb24e664f875"/>
    <w:p>
      <w:pPr>
        <w:pStyle w:val="Heading3"/>
      </w:pPr>
      <w:r>
        <w:t xml:space="preserve">Phase 3: Pilot Implementation &amp; Evaluation (Months 9-18)</w:t>
      </w:r>
    </w:p>
    <w:p>
      <w:pPr>
        <w:numPr>
          <w:ilvl w:val="0"/>
          <w:numId w:val="1004"/>
        </w:numPr>
        <w:pStyle w:val="Compact"/>
      </w:pPr>
      <w:r>
        <w:rPr>
          <w:iCs/>
          <w:i/>
        </w:rPr>
        <w:t xml:space="preserve">Intervention Group:</w:t>
      </w:r>
      <w:r>
        <w:t xml:space="preserve"> </w:t>
      </w:r>
      <w:r>
        <w:t xml:space="preserve">15 Dietitians embedded in CHCs delivering biweekly counseling using the new toolkit.</w:t>
      </w:r>
    </w:p>
    <w:p>
      <w:pPr>
        <w:numPr>
          <w:ilvl w:val="0"/>
          <w:numId w:val="1004"/>
        </w:numPr>
        <w:pStyle w:val="Compact"/>
      </w:pPr>
      <w:r>
        <w:rPr>
          <w:iCs/>
          <w:i/>
        </w:rPr>
        <w:t xml:space="preserve">Control Group:</w:t>
      </w:r>
      <w:r>
        <w:t xml:space="preserve"> </w:t>
      </w:r>
      <w:r>
        <w:t xml:space="preserve">150 patients receiving standard care at matched facilities.</w:t>
      </w:r>
    </w:p>
    <w:p>
      <w:pPr>
        <w:numPr>
          <w:ilvl w:val="0"/>
          <w:numId w:val="1004"/>
        </w:numPr>
        <w:pStyle w:val="Compact"/>
      </w:pPr>
      <w:r>
        <w:rPr>
          <w:iCs/>
          <w:i/>
        </w:rPr>
        <w:t xml:space="preserve">Data Collection:</w:t>
      </w:r>
      <w:r>
        <w:t xml:space="preserve"> </w:t>
      </w:r>
      <w:r>
        <w:t xml:space="preserve">Clinical metrics (HbA1c, weight, dietary adherence via food diaries), patient satisfaction surveys, and cost audits of service delivery.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validated operational model for Dietitian integration in Riyadh's healthcare system, including role definitions, training curricula, and reimbursement pathways.</w:t>
      </w:r>
    </w:p>
    <w:p>
      <w:pPr>
        <w:numPr>
          <w:ilvl w:val="0"/>
          <w:numId w:val="1005"/>
        </w:numPr>
        <w:pStyle w:val="Compact"/>
      </w:pPr>
      <w:r>
        <w:t xml:space="preserve">Culturally adapted dietary protocols that respect Islamic practices while improving health outcomes – directly addressing Vision 2030's "Healthy Saudi" goal.</w:t>
      </w:r>
    </w:p>
    <w:p>
      <w:pPr>
        <w:numPr>
          <w:ilvl w:val="0"/>
          <w:numId w:val="1005"/>
        </w:numPr>
        <w:pStyle w:val="Compact"/>
      </w:pPr>
      <w:r>
        <w:t xml:space="preserve">Quantifiable evidence demonstrating a 25% reduction in HbA1c levels among intervention patients versus controls, with potential cost savings of SAR 1,200 per patient annually.</w:t>
      </w:r>
    </w:p>
    <w:p>
      <w:pPr>
        <w:numPr>
          <w:ilvl w:val="0"/>
          <w:numId w:val="1005"/>
        </w:numPr>
        <w:pStyle w:val="Compact"/>
      </w:pPr>
      <w:r>
        <w:t xml:space="preserve">Policies to incentivize Dietitian certification through the Commission for Health Accreditation (CHA) and MoH licensing frameworks.</w:t>
      </w:r>
    </w:p>
    <w:p>
      <w:pPr>
        <w:pStyle w:val="FirstParagraph"/>
      </w:pPr>
      <w:r>
        <w:t xml:space="preserve">The significance extends beyond Riyadh: findings will form the foundation for a national framework, positioning Saudi Arabia as a regional leader in culturally grounded nutritional healthcare. As one of the largest cities globally with an Arabic-speaking population facing unique dietary transitions, Riyadh's success will offer replicable solutions for other Gulf states.</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4 months</w:t>
            </w:r>
          </w:p>
        </w:tc>
        <w:tc>
          <w:tcPr/>
          <w:p>
            <w:pPr>
              <w:pStyle w:val="Compact"/>
              <w:jc w:val="left"/>
            </w:pPr>
            <w:r>
              <w:t xml:space="preserve">Barrriers report, stakeholder mapping document</w:t>
            </w:r>
          </w:p>
        </w:tc>
      </w:tr>
      <w:tr>
        <w:tc>
          <w:tcPr/>
          <w:p>
            <w:pPr>
              <w:pStyle w:val="Compact"/>
              <w:jc w:val="left"/>
            </w:pPr>
            <w:r>
              <w:t xml:space="preserve">Intervention Design</w:t>
            </w:r>
          </w:p>
        </w:tc>
        <w:tc>
          <w:tcPr/>
          <w:p>
            <w:pPr>
              <w:pStyle w:val="Compact"/>
              <w:jc w:val="left"/>
            </w:pPr>
            <w:r>
              <w:t xml:space="preserve">4 months</w:t>
            </w:r>
          </w:p>
        </w:tc>
        <w:tc>
          <w:tcPr/>
          <w:p>
            <w:pPr>
              <w:pStyle w:val="Compact"/>
              <w:jc w:val="left"/>
            </w:pPr>
            <w:r>
              <w:t xml:space="preserve">Culturally adapted toolkit, training manual</w:t>
            </w:r>
          </w:p>
        </w:tc>
      </w:tr>
      <w:tr>
        <w:tc>
          <w:tcPr/>
          <w:p>
            <w:pPr>
              <w:pStyle w:val="Compact"/>
              <w:jc w:val="left"/>
            </w:pPr>
            <w:r>
              <w:t xml:space="preserve">Pilot Implementation &amp; Evaluation</w:t>
            </w:r>
          </w:p>
        </w:tc>
        <w:tc>
          <w:tcPr/>
          <w:p>
            <w:pPr>
              <w:pStyle w:val="Compact"/>
              <w:jc w:val="left"/>
            </w:pPr>
            <w:r>
              <w:t xml:space="preserve">10 months</w:t>
            </w:r>
          </w:p>
        </w:tc>
        <w:tc>
          <w:tcPr/>
          <w:p>
            <w:pPr>
              <w:pStyle w:val="Compact"/>
              <w:jc w:val="left"/>
            </w:pPr>
            <w:r>
              <w:t xml:space="preserve">Impact analysis report, cost-benefit model</w:t>
            </w:r>
          </w:p>
        </w:tc>
      </w:tr>
    </w:tbl>
    <w:p>
      <w:pPr>
        <w:pStyle w:val="BodyText"/>
      </w:pPr>
      <w:r>
        <w:t xml:space="preserve">Budget: SAR 385,000 (covers personnel, patient incentives, data software). Funding sought from King Abdullah International Medical Research Center (KAIMRC) and Saudi MOH innovation grants.</w:t>
      </w:r>
    </w:p>
    <w:bookmarkEnd w:id="29"/>
    <w:bookmarkStart w:id="30" w:name="conclusion"/>
    <w:p>
      <w:pPr>
        <w:pStyle w:val="Heading2"/>
      </w:pPr>
      <w:r>
        <w:t xml:space="preserve">8. Conclusion</w:t>
      </w:r>
    </w:p>
    <w:p>
      <w:pPr>
        <w:pStyle w:val="FirstParagraph"/>
      </w:pPr>
      <w:r>
        <w:t xml:space="preserve">The integration of qualified</w:t>
      </w:r>
      <w:r>
        <w:t xml:space="preserve"> </w:t>
      </w:r>
      <w:r>
        <w:rPr>
          <w:bCs/>
          <w:b/>
        </w:rPr>
        <w:t xml:space="preserve">Dietitian</w:t>
      </w:r>
      <w:r>
        <w:t xml:space="preserve"> </w:t>
      </w:r>
      <w:r>
        <w:t xml:space="preserve">professionals represents a transformative opportunity to tackle Riyadh's nutrition crisis through culturally intelligent care. This</w:t>
      </w:r>
      <w:r>
        <w:t xml:space="preserve"> </w:t>
      </w:r>
      <w:r>
        <w:rPr>
          <w:bCs/>
          <w:b/>
        </w:rPr>
        <w:t xml:space="preserve">Research Proposal</w:t>
      </w:r>
      <w:r>
        <w:t xml:space="preserve"> </w:t>
      </w:r>
      <w:r>
        <w:t xml:space="preserve">transcends conventional dietary studies by embedding the Dietitian role within Saudi Arabia's unique socio-religious context – ensuring interventions are not just medically effective but also socially acceptable and sustainable. By empowering Dietitians as clinical leaders in</w:t>
      </w:r>
      <w:r>
        <w:t xml:space="preserve"> </w:t>
      </w:r>
      <w:r>
        <w:rPr>
          <w:bCs/>
          <w:b/>
        </w:rPr>
        <w:t xml:space="preserve">Saudi Arabia Riyadh</w:t>
      </w:r>
      <w:r>
        <w:t xml:space="preserve">, this research directly supports Vision 2030's health transformation, ultimately reducing preventable morbidity and enhancing the Kingdom's global health standing. We seek collaborative partnership with the Ministry of Health to launch this pivotal study within six months.</w:t>
      </w:r>
    </w:p>
    <w:bookmarkEnd w:id="30"/>
    <w:bookmarkStart w:id="31" w:name="references-selected"/>
    <w:p>
      <w:pPr>
        <w:pStyle w:val="Heading2"/>
      </w:pPr>
      <w:r>
        <w:t xml:space="preserve">9. References (Selected)</w:t>
      </w:r>
    </w:p>
    <w:p>
      <w:pPr>
        <w:numPr>
          <w:ilvl w:val="0"/>
          <w:numId w:val="1006"/>
        </w:numPr>
        <w:pStyle w:val="Compact"/>
      </w:pPr>
      <w:r>
        <w:t xml:space="preserve">Saudi Ministry of Health. (2023). *National Strategy for Chronic Disease Prevention and Control*. Riyadh: MoH Publications.</w:t>
      </w:r>
    </w:p>
    <w:p>
      <w:pPr>
        <w:numPr>
          <w:ilvl w:val="0"/>
          <w:numId w:val="1006"/>
        </w:numPr>
        <w:pStyle w:val="Compact"/>
      </w:pPr>
      <w:r>
        <w:t xml:space="preserve">Al-Harbi, S., et al. (2021). "Dietitian Shortage in Saudi Hospitals: A Cross-Sectional Study." *Saudi Journal of Medicine &amp; Medical Sciences*, 9(3), 165–170.</w:t>
      </w:r>
    </w:p>
    <w:p>
      <w:pPr>
        <w:numPr>
          <w:ilvl w:val="0"/>
          <w:numId w:val="1006"/>
        </w:numPr>
        <w:pStyle w:val="Compact"/>
      </w:pPr>
      <w:r>
        <w:t xml:space="preserve">WHO Eastern Mediterranean Region. (2022). *Nutrition and Physical Activity Guidelines for Arab Countries*. Geneva: WHO.</w:t>
      </w:r>
    </w:p>
    <w:p>
      <w:pPr>
        <w:numPr>
          <w:ilvl w:val="0"/>
          <w:numId w:val="1006"/>
        </w:numPr>
        <w:pStyle w:val="Compact"/>
      </w:pPr>
      <w:r>
        <w:t xml:space="preserve">Al-Harbi, N., et al. (2023). "Cultural Adaptation of Diabetes Nutrition Education in Saudi Arabia." *Journal of Islamic Medical Association*, 14(2), 88–97.</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Dietary Health Through Dietitians in Riyadh, Saudi Arabia</dc:title>
  <dc:creator/>
  <dc:language>en</dc:language>
  <cp:keywords/>
  <dcterms:created xsi:type="dcterms:W3CDTF">2026-07-22T10:10:25Z</dcterms:created>
  <dcterms:modified xsi:type="dcterms:W3CDTF">2026-07-22T10:10:25Z</dcterms:modified>
</cp:coreProperties>
</file>

<file path=docProps/custom.xml><?xml version="1.0" encoding="utf-8"?>
<Properties xmlns="http://schemas.openxmlformats.org/officeDocument/2006/custom-properties" xmlns:vt="http://schemas.openxmlformats.org/officeDocument/2006/docPropsVTypes"/>
</file>