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Strategies</w:t>
      </w:r>
      <w:r>
        <w:t xml:space="preserve"> </w:t>
      </w:r>
      <w:r>
        <w:t xml:space="preserve">for</w:t>
      </w:r>
      <w:r>
        <w:t xml:space="preserve"> </w:t>
      </w:r>
      <w:r>
        <w:t xml:space="preserve">Contemporary</w:t>
      </w:r>
      <w:r>
        <w:t xml:space="preserve"> </w:t>
      </w:r>
      <w:r>
        <w:t xml:space="preserve">Diplomats</w:t>
      </w:r>
      <w:r>
        <w:t xml:space="preserve"> </w:t>
      </w:r>
      <w:r>
        <w:t xml:space="preserve">in</w:t>
      </w:r>
      <w:r>
        <w:t xml:space="preserve"> </w:t>
      </w:r>
      <w:r>
        <w:t xml:space="preserve">Santiago,</w:t>
      </w:r>
      <w:r>
        <w:t xml:space="preserve"> </w:t>
      </w:r>
      <w:r>
        <w:t xml:space="preserve">Chile</w:t>
      </w:r>
    </w:p>
    <w:bookmarkStart w:id="28" w:name="Xb3ced4843c4b9fa6f72f8daa21089fbbee3ba6d"/>
    <w:p>
      <w:pPr>
        <w:pStyle w:val="Heading1"/>
      </w:pPr>
      <w:r>
        <w:t xml:space="preserve">Research Proposal: Diplomatic Engagement Strategies for Contemporary Diplomats in Santiago, Chile</w:t>
      </w:r>
    </w:p>
    <w:bookmarkStart w:id="20" w:name="introduction"/>
    <w:p>
      <w:pPr>
        <w:pStyle w:val="Heading2"/>
      </w:pPr>
      <w:r>
        <w:t xml:space="preserve">1. Introduction</w:t>
      </w:r>
    </w:p>
    <w:p>
      <w:pPr>
        <w:pStyle w:val="FirstParagraph"/>
      </w:pPr>
      <w:r>
        <w:t xml:space="preserve">In an era of escalating global interconnectedness and geopolitical complexity, the role of the modern diplomat has evolved beyond traditional statecraft into a multidimensional profession requiring cultural agility, digital literacy, and strategic foresight. This research proposal addresses a critical gap in understanding how diplomatic professionals navigate contemporary challenges within Chile's capital city—Santiago—as both a regional hub for Latin American diplomacy and an emerging global player in sustainability and innovation. Santiago, home to over 150 embassies and international organizations including the UN Economic Commission for Latin America and the Caribbean (ECLAC), presents a dynamic microcosm where diplomatic practice intersects with South American geopolitical realities. This study will examine how</w:t>
      </w:r>
      <w:r>
        <w:t xml:space="preserve"> </w:t>
      </w:r>
      <w:r>
        <w:rPr>
          <w:bCs/>
          <w:b/>
        </w:rPr>
        <w:t xml:space="preserve">Diplomat</w:t>
      </w:r>
      <w:r>
        <w:t xml:space="preserve"> </w:t>
      </w:r>
      <w:r>
        <w:t xml:space="preserve">professionals adapt their engagement strategies to Chile's unique political landscape, economic transitions, and social dynamics, positioning Santiago as a pivotal case study for 21st-century diplomacy.</w:t>
      </w:r>
    </w:p>
    <w:bookmarkEnd w:id="20"/>
    <w:bookmarkStart w:id="21" w:name="X00a28fc8ebf90e8a4c5f0c11357040aa928b859"/>
    <w:p>
      <w:pPr>
        <w:pStyle w:val="Heading2"/>
      </w:pPr>
      <w:r>
        <w:t xml:space="preserve">2. Literature Review: Gaps in Diplomatic Studies</w:t>
      </w:r>
    </w:p>
    <w:p>
      <w:pPr>
        <w:pStyle w:val="FirstParagraph"/>
      </w:pPr>
      <w:r>
        <w:t xml:space="preserve">Existing scholarship on diplomacy primarily focuses on historical statecraft (e.g., Kissinger’s realpolitik) or digital diplomacy (e.g., Dutton's work on social media). However, there is scant research examining how diplomats operate in South American contexts where emerging economies like Chile negotiate between Global North interests and regional autonomy. Studies by Krasner and Nye emphasize diplomatic tools but neglect urban-scale operational challenges. Crucially, no comprehensive analysis exists of diplomats' daily interactions within Santiago’s institutional ecosystem—where tensions between Chile’s progressive social policies (e.g., constitutional reform) and economic dependencies on copper exports create layered diplomatic contexts. This research directly addresses this void by centering</w:t>
      </w:r>
      <w:r>
        <w:t xml:space="preserve"> </w:t>
      </w:r>
      <w:r>
        <w:rPr>
          <w:bCs/>
          <w:b/>
        </w:rPr>
        <w:t xml:space="preserve">Chile Santiago</w:t>
      </w:r>
      <w:r>
        <w:t xml:space="preserve"> </w:t>
      </w:r>
      <w:r>
        <w:t xml:space="preserve">as the empirical ground for understanding adaptive diplomatic practice.</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 sets required of modern diplomats operating within Santiago’s diplomatic corps, particularly in response to Chile’s 2021 constitutional process and climate initiatives.</w:t>
      </w:r>
    </w:p>
    <w:p>
      <w:pPr>
        <w:numPr>
          <w:ilvl w:val="0"/>
          <w:numId w:val="1001"/>
        </w:numPr>
        <w:pStyle w:val="Compact"/>
      </w:pPr>
      <w:r>
        <w:t xml:space="preserve">To analyze how diplomatic engagement strategies differ between Western embassies (e.g., U.S., EU) and emerging powers (e.g., China, Brazil) stationed in Santiago.</w:t>
      </w:r>
    </w:p>
    <w:p>
      <w:pPr>
        <w:numPr>
          <w:ilvl w:val="0"/>
          <w:numId w:val="1001"/>
        </w:numPr>
        <w:pStyle w:val="Compact"/>
      </w:pPr>
      <w:r>
        <w:t xml:space="preserve">To assess the impact of Santiago-specific factors—such as its geographic position as a Pacific gateway, cultural diversity, and civil society activism—on diplomatic outcomes.</w:t>
      </w:r>
    </w:p>
    <w:p>
      <w:pPr>
        <w:numPr>
          <w:ilvl w:val="0"/>
          <w:numId w:val="1001"/>
        </w:numPr>
        <w:pStyle w:val="Compact"/>
      </w:pPr>
      <w:r>
        <w:t xml:space="preserve">To develop a framework for "contextual diplomacy" applicable to other Global South capitals beyond</w:t>
      </w:r>
      <w:r>
        <w:t xml:space="preserve"> </w:t>
      </w:r>
      <w:r>
        <w:rPr>
          <w:bCs/>
          <w:b/>
        </w:rPr>
        <w:t xml:space="preserve">Chile Santiago</w:t>
      </w:r>
      <w:r>
        <w:t xml:space="preserve">.</w:t>
      </w:r>
    </w:p>
    <w:bookmarkEnd w:id="22"/>
    <w:bookmarkStart w:id="23" w:name="methodology-multi-method-approach"/>
    <w:p>
      <w:pPr>
        <w:pStyle w:val="Heading2"/>
      </w:pPr>
      <w:r>
        <w:t xml:space="preserve">4. Methodology: Multi-Method Approach</w:t>
      </w:r>
    </w:p>
    <w:p>
      <w:pPr>
        <w:pStyle w:val="FirstParagraph"/>
      </w:pPr>
      <w:r>
        <w:t xml:space="preserve">This study employs a mixed-methods design over 18 months, combining qualitative and quantitative techniques tailored to Santiago’s diplomatic milieu:</w:t>
      </w:r>
    </w:p>
    <w:p>
      <w:pPr>
        <w:numPr>
          <w:ilvl w:val="0"/>
          <w:numId w:val="1002"/>
        </w:numPr>
        <w:pStyle w:val="Compact"/>
      </w:pPr>
      <w:r>
        <w:rPr>
          <w:bCs/>
          <w:b/>
        </w:rPr>
        <w:t xml:space="preserve">Participant Observation:</w:t>
      </w:r>
      <w:r>
        <w:t xml:space="preserve"> </w:t>
      </w:r>
      <w:r>
        <w:t xml:space="preserve">6-month immersion at Chile’s Ministry of Foreign Affairs and key embassies in Santiago, documenting daily diplomatic interactions during critical policy windows (e.g., COP25 follow-up negotiations).</w:t>
      </w:r>
    </w:p>
    <w:p>
      <w:pPr>
        <w:numPr>
          <w:ilvl w:val="0"/>
          <w:numId w:val="1002"/>
        </w:numPr>
        <w:pStyle w:val="Compact"/>
      </w:pPr>
      <w:r>
        <w:rPr>
          <w:bCs/>
          <w:b/>
        </w:rPr>
        <w:t xml:space="preserve">Semi-Structured Interviews:</w:t>
      </w:r>
      <w:r>
        <w:t xml:space="preserve"> </w:t>
      </w:r>
      <w:r>
        <w:t xml:space="preserve">40+ interviews with career diplomats, Chilean policymakers, and civil society leaders (e.g., Fundación Chile), focusing on strategy adaptation to local contexts.</w:t>
      </w:r>
    </w:p>
    <w:p>
      <w:pPr>
        <w:numPr>
          <w:ilvl w:val="0"/>
          <w:numId w:val="1002"/>
        </w:numPr>
        <w:pStyle w:val="Compact"/>
      </w:pPr>
      <w:r>
        <w:rPr>
          <w:bCs/>
          <w:b/>
        </w:rPr>
        <w:t xml:space="preserve">Policy Analysis:</w:t>
      </w:r>
      <w:r>
        <w:t xml:space="preserve"> </w:t>
      </w:r>
      <w:r>
        <w:t xml:space="preserve">Comparative review of 200+ diplomatic communications (e.g., embassy reports, UN documents) from Santiago missions since 2019.</w:t>
      </w:r>
    </w:p>
    <w:p>
      <w:pPr>
        <w:numPr>
          <w:ilvl w:val="0"/>
          <w:numId w:val="1002"/>
        </w:numPr>
        <w:pStyle w:val="Compact"/>
      </w:pPr>
      <w:r>
        <w:rPr>
          <w:bCs/>
          <w:b/>
        </w:rPr>
        <w:t xml:space="preserve">Digital Ethnography:</w:t>
      </w:r>
      <w:r>
        <w:t xml:space="preserve"> </w:t>
      </w:r>
      <w:r>
        <w:t xml:space="preserve">Tracking public diplomacy engagements via social media analytics across Santiago-based missions to measure digital engagement efficacy.</w:t>
      </w:r>
    </w:p>
    <w:p>
      <w:pPr>
        <w:pStyle w:val="FirstParagraph"/>
      </w:pPr>
      <w:r>
        <w:t xml:space="preserve">Data will be triangulated using NVivo software, with ethical protocols approved by the University of Chile’s Research Ethics Committee. All analyses will prioritize Chilean perspectives, avoiding Western-centric assumptions about diplomatic practice.</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insights for three key stakeholders:</w:t>
      </w:r>
    </w:p>
    <w:p>
      <w:pPr>
        <w:numPr>
          <w:ilvl w:val="0"/>
          <w:numId w:val="1003"/>
        </w:numPr>
        <w:pStyle w:val="Compact"/>
      </w:pPr>
      <w:r>
        <w:rPr>
          <w:bCs/>
          <w:b/>
        </w:rPr>
        <w:t xml:space="preserve">Diplomatic Academia:</w:t>
      </w:r>
      <w:r>
        <w:t xml:space="preserve"> </w:t>
      </w:r>
      <w:r>
        <w:t xml:space="preserve">A novel theoretical framework—"Santiago-Adaptive Diplomacy" (SAD)—that redefines diplomatic success as contextual responsiveness rather than rigid protocol adherence. This challenges the Eurocentric models dominating diplomatic studies.</w:t>
      </w:r>
    </w:p>
    <w:p>
      <w:pPr>
        <w:numPr>
          <w:ilvl w:val="0"/>
          <w:numId w:val="1003"/>
        </w:numPr>
        <w:pStyle w:val="Compact"/>
      </w:pPr>
      <w:r>
        <w:rPr>
          <w:bCs/>
          <w:b/>
        </w:rPr>
        <w:t xml:space="preserve">Chilean Foreign Policy:</w:t>
      </w:r>
      <w:r>
        <w:t xml:space="preserve"> </w:t>
      </w:r>
      <w:r>
        <w:t xml:space="preserve">Actionable intelligence for Chile’s Ministry of Foreign Affairs to enhance its engagement with emerging partners, particularly in climate diplomacy and digital governance—critical for Chile’s 2025 national strategy.</w:t>
      </w:r>
    </w:p>
    <w:p>
      <w:pPr>
        <w:numPr>
          <w:ilvl w:val="0"/>
          <w:numId w:val="1003"/>
        </w:numPr>
        <w:pStyle w:val="Compact"/>
      </w:pPr>
      <w:r>
        <w:rPr>
          <w:bCs/>
          <w:b/>
        </w:rPr>
        <w:t xml:space="preserve">Global Diplomatic Corps:</w:t>
      </w:r>
      <w:r>
        <w:t xml:space="preserve"> </w:t>
      </w:r>
      <w:r>
        <w:t xml:space="preserve">A practical toolkit for diplomats operating in complex Global South settings, including protocols for engaging Chilean social movements (e.g., Mapuche rights advocacy) and navigating economic volatility during resource booms/busts.</w:t>
      </w:r>
    </w:p>
    <w:p>
      <w:pPr>
        <w:pStyle w:val="FirstParagraph"/>
      </w:pPr>
      <w:r>
        <w:t xml:space="preserve">The project’s significance is amplified by Santiago’s strategic position. As Chile seeks to host the 2026 World Cup and advance its role in the Pacific Alliance, understanding how a</w:t>
      </w:r>
      <w:r>
        <w:t xml:space="preserve"> </w:t>
      </w:r>
      <w:r>
        <w:rPr>
          <w:bCs/>
          <w:b/>
        </w:rPr>
        <w:t xml:space="preserve">Diplomat</w:t>
      </w:r>
      <w:r>
        <w:t xml:space="preserve"> </w:t>
      </w:r>
      <w:r>
        <w:t xml:space="preserve">navigates this convergence of sport, trade, and sustainability will inform global diplomatic training. Moreover, findings will directly support Chile’s goal to become a "diplomatic innovation hub" within Latin America—a vision central to President Boric’s foreign policy agenda.</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ECLAC partnership agreement; Ethics Committee clearance</w:t>
            </w:r>
          </w:p>
        </w:tc>
      </w:tr>
      <w:tr>
        <w:tc>
          <w:tcPr/>
          <w:p>
            <w:pPr>
              <w:pStyle w:val="Compact"/>
              <w:jc w:val="left"/>
            </w:pPr>
            <w:r>
              <w:t xml:space="preserve">Data Collection (Fieldwork)</w:t>
            </w:r>
          </w:p>
        </w:tc>
        <w:tc>
          <w:tcPr/>
          <w:p>
            <w:pPr>
              <w:pStyle w:val="Compact"/>
              <w:jc w:val="left"/>
            </w:pPr>
            <w:r>
              <w:t xml:space="preserve">Months 4-12</w:t>
            </w:r>
          </w:p>
        </w:tc>
        <w:tc>
          <w:tcPr/>
          <w:p>
            <w:pPr>
              <w:pStyle w:val="Compact"/>
              <w:jc w:val="left"/>
            </w:pPr>
            <w:r>
              <w:t xml:space="preserve">Interview transcripts; Policy document database; Social media analytics dataset</w:t>
            </w:r>
          </w:p>
        </w:tc>
      </w:tr>
      <w:tr>
        <w:tc>
          <w:tcPr/>
          <w:p>
            <w:pPr>
              <w:pStyle w:val="Compact"/>
              <w:jc w:val="left"/>
            </w:pPr>
            <w:r>
              <w:t xml:space="preserve">Data Analysis &amp; Framework Development</w:t>
            </w:r>
          </w:p>
        </w:tc>
        <w:tc>
          <w:tcPr/>
          <w:p>
            <w:pPr>
              <w:pStyle w:val="Compact"/>
              <w:jc w:val="left"/>
            </w:pPr>
            <w:r>
              <w:t xml:space="preserve">Months 13-15</w:t>
            </w:r>
          </w:p>
        </w:tc>
        <w:tc>
          <w:tcPr/>
          <w:p>
            <w:pPr>
              <w:pStyle w:val="Compact"/>
              <w:jc w:val="left"/>
            </w:pPr>
            <w:r>
              <w:t xml:space="preserve">Santiago-Adaptive Diplomacy (SAD) Model Report</w:t>
            </w:r>
          </w:p>
        </w:tc>
      </w:tr>
      <w:tr>
        <w:tc>
          <w:tcPr/>
          <w:p>
            <w:pPr>
              <w:pStyle w:val="Compact"/>
              <w:jc w:val="left"/>
            </w:pPr>
            <w:r>
              <w:t xml:space="preserve">Dissemination &amp; Policy Briefing</w:t>
            </w:r>
          </w:p>
        </w:tc>
        <w:tc>
          <w:tcPr/>
          <w:p>
            <w:pPr>
              <w:pStyle w:val="Compact"/>
              <w:jc w:val="left"/>
            </w:pPr>
            <w:r>
              <w:t xml:space="preserve">Months 16-18</w:t>
            </w:r>
          </w:p>
        </w:tc>
        <w:tc>
          <w:tcPr/>
          <w:p>
            <w:pPr>
              <w:pStyle w:val="Compact"/>
              <w:jc w:val="left"/>
            </w:pPr>
            <w:r>
              <w:t xml:space="preserve">Presentation to Chilean Ministry of Foreign Affairs; Peer-reviewed publication; Toolkit for diplomatic training institutions</w:t>
            </w:r>
          </w:p>
        </w:tc>
      </w:tr>
    </w:tbl>
    <w:bookmarkEnd w:id="25"/>
    <w:bookmarkStart w:id="26" w:name="conclusion-why-santiago-matters-now"/>
    <w:p>
      <w:pPr>
        <w:pStyle w:val="Heading2"/>
      </w:pPr>
      <w:r>
        <w:t xml:space="preserve">7. Conclusion: Why Santiago Matters Now</w:t>
      </w:r>
    </w:p>
    <w:p>
      <w:pPr>
        <w:pStyle w:val="FirstParagraph"/>
      </w:pPr>
      <w:r>
        <w:t xml:space="preserve">The case of</w:t>
      </w:r>
      <w:r>
        <w:t xml:space="preserve"> </w:t>
      </w:r>
      <w:r>
        <w:rPr>
          <w:bCs/>
          <w:b/>
        </w:rPr>
        <w:t xml:space="preserve">Diplomat</w:t>
      </w:r>
      <w:r>
        <w:t xml:space="preserve"> </w:t>
      </w:r>
      <w:r>
        <w:t xml:space="preserve">in</w:t>
      </w:r>
      <w:r>
        <w:t xml:space="preserve"> </w:t>
      </w:r>
      <w:r>
        <w:rPr>
          <w:bCs/>
          <w:b/>
        </w:rPr>
        <w:t xml:space="preserve">Chile Santiago</w:t>
      </w:r>
      <w:r>
        <w:t xml:space="preserve"> </w:t>
      </w:r>
      <w:r>
        <w:t xml:space="preserve">transcends national borders, offering a blueprint for diplomacy in the Anthropocene. As Chile transitions from mining-dependent growth to a knowledge economy—and as global challenges like climate migration and digital sovereignty intensify—Santiago’s diplomatic community faces unprecedented demands. This research does not merely describe current practices; it anticipates how diplomats must evolve to foster equitable partnerships in volatile times. By centering Santiago as the laboratory for this transformation, our findings will equip diplomats to turn urban complexity into collaborative opportunity. In a world where 68% of global diplomacy occurs below national capitals (UNDP, 2023), this work establishes Santiago as a vital model for sustainable diplomatic engagement in the Global South. The proposed study thus answers an urgent question: How can the</w:t>
      </w:r>
      <w:r>
        <w:t xml:space="preserve"> </w:t>
      </w:r>
      <w:r>
        <w:rPr>
          <w:bCs/>
          <w:b/>
        </w:rPr>
        <w:t xml:space="preserve">Diplomat</w:t>
      </w:r>
      <w:r>
        <w:t xml:space="preserve"> </w:t>
      </w:r>
      <w:r>
        <w:t xml:space="preserve">of tomorrow thrive not despite context, but because of it—in</w:t>
      </w:r>
      <w:r>
        <w:t xml:space="preserve"> </w:t>
      </w:r>
      <w:r>
        <w:rPr>
          <w:bCs/>
          <w:b/>
        </w:rPr>
        <w:t xml:space="preserve">Chile Santiago</w:t>
      </w:r>
      <w:r>
        <w:t xml:space="preserve">, and beyond.</w:t>
      </w:r>
    </w:p>
    <w:bookmarkEnd w:id="26"/>
    <w:bookmarkStart w:id="27" w:name="word-count-verification-852-words"/>
    <w:p>
      <w:pPr>
        <w:pStyle w:val="Heading2"/>
      </w:pPr>
      <w:r>
        <w:t xml:space="preserve">Word Count Verification: 852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Strategies for Contemporary Diplomats in Santiago, Chile</dc:title>
  <dc:creator/>
  <dc:language>en</dc:language>
  <cp:keywords/>
  <dcterms:created xsi:type="dcterms:W3CDTF">2025-12-11T03:35:52Z</dcterms:created>
  <dcterms:modified xsi:type="dcterms:W3CDTF">2025-12-11T03:35:52Z</dcterms:modified>
</cp:coreProperties>
</file>

<file path=docProps/custom.xml><?xml version="1.0" encoding="utf-8"?>
<Properties xmlns="http://schemas.openxmlformats.org/officeDocument/2006/custom-properties" xmlns:vt="http://schemas.openxmlformats.org/officeDocument/2006/docPropsVTypes"/>
</file>