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China</w:t>
      </w:r>
      <w:r>
        <w:t xml:space="preserve"> </w:t>
      </w:r>
      <w:r>
        <w:t xml:space="preserve">Guangzhou</w:t>
      </w:r>
    </w:p>
    <w:bookmarkStart w:id="29" w:name="X5420fceda7946a2624a395b5f9971d0448b56d1"/>
    <w:p>
      <w:pPr>
        <w:pStyle w:val="Heading1"/>
      </w:pPr>
      <w:r>
        <w:t xml:space="preserve">Research Proposal: Advancing Diplomatic Relations through Strategic Engagement in China Guangzhou</w:t>
      </w:r>
    </w:p>
    <w:bookmarkStart w:id="20" w:name="i.-introduction"/>
    <w:p>
      <w:pPr>
        <w:pStyle w:val="Heading2"/>
      </w:pPr>
      <w:r>
        <w:t xml:space="preserve">I. Introduction</w:t>
      </w:r>
    </w:p>
    <w:p>
      <w:pPr>
        <w:pStyle w:val="FirstParagraph"/>
      </w:pPr>
      <w:r>
        <w:t xml:space="preserve">The evolving geopolitical landscape necessitates nuanced diplomatic approaches, particularly in dynamic economic hubs like Guangzhou, the capital of Guangdong Province and a pivotal gateway to Southeast Asia. This</w:t>
      </w:r>
      <w:r>
        <w:t xml:space="preserve"> </w:t>
      </w:r>
      <w:r>
        <w:rPr>
          <w:bCs/>
          <w:b/>
        </w:rPr>
        <w:t xml:space="preserve">Research Proposal</w:t>
      </w:r>
      <w:r>
        <w:t xml:space="preserve"> </w:t>
      </w:r>
      <w:r>
        <w:t xml:space="preserve">investigates the role of modern diplomats operating within China's southern economic powerhouse, addressing critical gaps in understanding how diplomatic engagement can foster mutually beneficial international partnerships. As China continues to reshape global trade networks through initiatives like the Belt and Road, Guangzhou—a city hosting one of the world's busiest ports and a magnet for foreign investment—requires sophisticated diplomatic strategies to navigate complex cross-cultural exchanges. This study positions the</w:t>
      </w:r>
      <w:r>
        <w:t xml:space="preserve"> </w:t>
      </w:r>
      <w:r>
        <w:rPr>
          <w:bCs/>
          <w:b/>
        </w:rPr>
        <w:t xml:space="preserve">Diplomat</w:t>
      </w:r>
      <w:r>
        <w:t xml:space="preserve"> </w:t>
      </w:r>
      <w:r>
        <w:t xml:space="preserve">not merely as an envoy but as a strategic facilitator of economic, cultural, and technological collaboration within</w:t>
      </w:r>
      <w:r>
        <w:t xml:space="preserve"> </w:t>
      </w:r>
      <w:r>
        <w:rPr>
          <w:bCs/>
          <w:b/>
        </w:rPr>
        <w:t xml:space="preserve">China Guangzhou</w:t>
      </w:r>
      <w:r>
        <w:t xml:space="preserve">'s unique ecosystem.</w:t>
      </w:r>
    </w:p>
    <w:bookmarkEnd w:id="20"/>
    <w:bookmarkStart w:id="21" w:name="ii.-research-significance-and-context"/>
    <w:p>
      <w:pPr>
        <w:pStyle w:val="Heading2"/>
      </w:pPr>
      <w:r>
        <w:t xml:space="preserve">II. Research Significance and Context</w:t>
      </w:r>
    </w:p>
    <w:p>
      <w:pPr>
        <w:pStyle w:val="FirstParagraph"/>
      </w:pPr>
      <w:r>
        <w:t xml:space="preserve">Guangzhou’s status as China’s third-most populous city (over 18 million residents) and its designation as a key node in the Pearl River Delta Economic Zone create unparalleled diplomatic opportunities. With over 30 foreign embassies and consulates based in Guangzhou, including those of the United States, Japan, South Korea, and ASEAN nations, the city functions as an unofficial diplomatic capital for southern China. However, existing literature largely overlooks how diplomats effectively operate within Guangzhou’s distinct cultural fabric—a blend of Cantonese traditions and hyper-modern urban infrastructure. This research directly addresses this gap by examining the</w:t>
      </w:r>
      <w:r>
        <w:t xml:space="preserve"> </w:t>
      </w:r>
      <w:r>
        <w:rPr>
          <w:bCs/>
          <w:b/>
        </w:rPr>
        <w:t xml:space="preserve">Diplomat</w:t>
      </w:r>
      <w:r>
        <w:t xml:space="preserve">'s role in advancing bilateral relations through Guangzhou’s specific economic corridors, such as the China-Singapore (Guangzhou) Industrial City and the Greater Bay Area initiative.</w:t>
      </w:r>
    </w:p>
    <w:bookmarkEnd w:id="21"/>
    <w:bookmarkStart w:id="22" w:name="iii.-research-objectives"/>
    <w:p>
      <w:pPr>
        <w:pStyle w:val="Heading2"/>
      </w:pPr>
      <w:r>
        <w:t xml:space="preserve">III. Research Objectives</w:t>
      </w:r>
    </w:p>
    <w:p>
      <w:pPr>
        <w:numPr>
          <w:ilvl w:val="0"/>
          <w:numId w:val="1001"/>
        </w:numPr>
        <w:pStyle w:val="Compact"/>
      </w:pPr>
      <w:r>
        <w:t xml:space="preserve">To analyze the strategic frameworks employed by diplomats in Guangzhou to navigate local governance structures and business ecosystems.</w:t>
      </w:r>
    </w:p>
    <w:p>
      <w:pPr>
        <w:numPr>
          <w:ilvl w:val="0"/>
          <w:numId w:val="1001"/>
        </w:numPr>
        <w:pStyle w:val="Compact"/>
      </w:pPr>
      <w:r>
        <w:t xml:space="preserve">To evaluate how cultural intelligence (e.g., understanding Cantonese business etiquette, community dynamics) impacts diplomatic outcomes in Guangzhou.</w:t>
      </w:r>
    </w:p>
    <w:p>
      <w:pPr>
        <w:numPr>
          <w:ilvl w:val="0"/>
          <w:numId w:val="1001"/>
        </w:numPr>
        <w:pStyle w:val="Compact"/>
      </w:pPr>
      <w:r>
        <w:t xml:space="preserve">To identify best practices for leveraging Guangzhou’s trade fairs (e.g., Canton Fair), technology parks, and university networks as diplomatic platforms.</w:t>
      </w:r>
    </w:p>
    <w:p>
      <w:pPr>
        <w:numPr>
          <w:ilvl w:val="0"/>
          <w:numId w:val="1001"/>
        </w:numPr>
        <w:pStyle w:val="Compact"/>
      </w:pPr>
      <w:r>
        <w:t xml:space="preserve">To assess challenges faced by diplomats in balancing national foreign policy with Guangzhou’s provincial autonomy and local economic priorities.</w:t>
      </w:r>
    </w:p>
    <w:bookmarkEnd w:id="22"/>
    <w:bookmarkStart w:id="23" w:name="iv.-methodology"/>
    <w:p>
      <w:pPr>
        <w:pStyle w:val="Heading2"/>
      </w:pPr>
      <w:r>
        <w:t xml:space="preserve">IV. Methodology</w:t>
      </w:r>
    </w:p>
    <w:p>
      <w:pPr>
        <w:pStyle w:val="FirstParagraph"/>
      </w:pPr>
      <w:r>
        <w:t xml:space="preserve">This mixed-methods study combines qualitative and quantitative approaches over 18 months:</w:t>
      </w:r>
    </w:p>
    <w:p>
      <w:pPr>
        <w:numPr>
          <w:ilvl w:val="0"/>
          <w:numId w:val="1002"/>
        </w:numPr>
        <w:pStyle w:val="Compact"/>
      </w:pPr>
      <w:r>
        <w:rPr>
          <w:bCs/>
          <w:b/>
        </w:rPr>
        <w:t xml:space="preserve">Case Study Analysis:</w:t>
      </w:r>
      <w:r>
        <w:t xml:space="preserve"> </w:t>
      </w:r>
      <w:r>
        <w:t xml:space="preserve">Examination of 15 high-impact diplomatic initiatives in Guangzhou (e.g., the EU-China Green Technology Partnership launched at the 2023 Guangzhou International Energy Fair).</w:t>
      </w:r>
    </w:p>
    <w:p>
      <w:pPr>
        <w:numPr>
          <w:ilvl w:val="0"/>
          <w:numId w:val="1002"/>
        </w:numPr>
        <w:pStyle w:val="Compact"/>
      </w:pPr>
      <w:r>
        <w:rPr>
          <w:bCs/>
          <w:b/>
        </w:rPr>
        <w:t xml:space="preserve">Stakeholder Interviews:</w:t>
      </w:r>
      <w:r>
        <w:t xml:space="preserve"> </w:t>
      </w:r>
      <w:r>
        <w:t xml:space="preserve">40+ semi-structured interviews with diplomats, local officials (Guangdong Foreign Affairs Office), business leaders from GDIEC (Guangdong International Economic Cooperation Center), and academic experts at Sun Yat-sen University.</w:t>
      </w:r>
    </w:p>
    <w:p>
      <w:pPr>
        <w:numPr>
          <w:ilvl w:val="0"/>
          <w:numId w:val="1002"/>
        </w:numPr>
        <w:pStyle w:val="Compact"/>
      </w:pPr>
      <w:r>
        <w:rPr>
          <w:bCs/>
          <w:b/>
        </w:rPr>
        <w:t xml:space="preserve">Network Mapping:</w:t>
      </w:r>
      <w:r>
        <w:t xml:space="preserve"> </w:t>
      </w:r>
      <w:r>
        <w:t xml:space="preserve">Social network analysis of diplomatic-business collaboration patterns using data from Guangzhou’s Foreign Investment Promotion Bureau.</w:t>
      </w:r>
    </w:p>
    <w:p>
      <w:pPr>
        <w:numPr>
          <w:ilvl w:val="0"/>
          <w:numId w:val="1002"/>
        </w:numPr>
        <w:pStyle w:val="Compact"/>
      </w:pPr>
      <w:r>
        <w:rPr>
          <w:bCs/>
          <w:b/>
        </w:rPr>
        <w:t xml:space="preserve">Comparative Benchmarking:</w:t>
      </w:r>
      <w:r>
        <w:t xml:space="preserve"> </w:t>
      </w:r>
      <w:r>
        <w:t xml:space="preserve">Cross-referencing Guangzhou’s diplomatic models against Singapore and Shenzhen to isolate region-specific factors.</w:t>
      </w:r>
    </w:p>
    <w:bookmarkEnd w:id="23"/>
    <w:bookmarkStart w:id="24" w:name="v.-expected-contributions"/>
    <w:p>
      <w:pPr>
        <w:pStyle w:val="Heading2"/>
      </w:pPr>
      <w:r>
        <w:t xml:space="preserve">V. Expected Contributions</w:t>
      </w:r>
    </w:p>
    <w:p>
      <w:pPr>
        <w:pStyle w:val="FirstParagraph"/>
      </w:pPr>
      <w:r>
        <w:t xml:space="preserve">This research will deliver actionable insights for three key stakeholders:</w:t>
      </w:r>
    </w:p>
    <w:p>
      <w:pPr>
        <w:numPr>
          <w:ilvl w:val="0"/>
          <w:numId w:val="1003"/>
        </w:numPr>
        <w:pStyle w:val="Compact"/>
      </w:pPr>
      <w:r>
        <w:rPr>
          <w:bCs/>
          <w:b/>
        </w:rPr>
        <w:t xml:space="preserve">Diplomats:</w:t>
      </w:r>
      <w:r>
        <w:t xml:space="preserve"> </w:t>
      </w:r>
      <w:r>
        <w:t xml:space="preserve">A practical toolkit addressing Guangzhou’s "localization challenges" (e.g., navigating the city’s 80+ foreign trade zones and managing relations with 15,000+ registered foreign enterprises).</w:t>
      </w:r>
    </w:p>
    <w:p>
      <w:pPr>
        <w:numPr>
          <w:ilvl w:val="0"/>
          <w:numId w:val="1003"/>
        </w:numPr>
        <w:pStyle w:val="Compact"/>
      </w:pPr>
      <w:r>
        <w:rPr>
          <w:bCs/>
          <w:b/>
        </w:rPr>
        <w:t xml:space="preserve">Guangdong Authorities:</w:t>
      </w:r>
      <w:r>
        <w:t xml:space="preserve"> </w:t>
      </w:r>
      <w:r>
        <w:t xml:space="preserve">Data-driven recommendations for optimizing diplomatic support infrastructure, including the proposed Guangzhou Diplomatic Corridor Initiative (GDIC) to streamline consular access to industrial zones.</w:t>
      </w:r>
    </w:p>
    <w:p>
      <w:pPr>
        <w:numPr>
          <w:ilvl w:val="0"/>
          <w:numId w:val="1003"/>
        </w:numPr>
        <w:pStyle w:val="Compact"/>
      </w:pPr>
      <w:r>
        <w:rPr>
          <w:bCs/>
          <w:b/>
        </w:rPr>
        <w:t xml:space="preserve">International Organizations:</w:t>
      </w:r>
      <w:r>
        <w:t xml:space="preserve"> </w:t>
      </w:r>
      <w:r>
        <w:t xml:space="preserve">Frameworks for adapting global engagement strategies to China’s regional economic clusters, with Guangzhou as a model for other cities like Chengdu and Chongqing.</w:t>
      </w:r>
    </w:p>
    <w:bookmarkEnd w:id="24"/>
    <w:bookmarkStart w:id="25" w:name="vi.-ethical-considerations"/>
    <w:p>
      <w:pPr>
        <w:pStyle w:val="Heading2"/>
      </w:pPr>
      <w:r>
        <w:t xml:space="preserve">VI. Ethical Considerations</w:t>
      </w:r>
    </w:p>
    <w:p>
      <w:pPr>
        <w:pStyle w:val="FirstParagraph"/>
      </w:pPr>
      <w:r>
        <w:t xml:space="preserve">All research will comply with the Guidelines of the Chinese Ministry of Foreign Affairs and Guangdong Province’s regulations on foreign-related activities. Participant anonymity will be guaranteed via pseudonymization in data analysis, and all fieldwork will secure permits from Guangzhou Municipal Government’s Department of International Affairs. The study explicitly avoids sensitive political topics, focusing instead on economic-cultural cooperation—aligning with China’s "peaceful development" diplomatic philosophy.</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Pre-fieldwork (Literature Review &amp; Protocol Design)</w:t>
            </w:r>
          </w:p>
        </w:tc>
        <w:tc>
          <w:tcPr/>
          <w:p>
            <w:pPr>
              <w:pStyle w:val="Compact"/>
              <w:jc w:val="left"/>
            </w:pPr>
            <w:r>
              <w:t xml:space="preserve">Months 1-3</w:t>
            </w:r>
          </w:p>
        </w:tc>
        <w:tc>
          <w:tcPr/>
          <w:p>
            <w:pPr>
              <w:pStyle w:val="Compact"/>
              <w:jc w:val="left"/>
            </w:pPr>
            <w:r>
              <w:t xml:space="preserve">Rigorous review of Guangzhou diplomatic archives; Ethics approval from Sun Yat-sen University</w:t>
            </w:r>
          </w:p>
        </w:tc>
      </w:tr>
      <w:tr>
        <w:tc>
          <w:tcPr/>
          <w:p>
            <w:pPr>
              <w:pStyle w:val="Compact"/>
              <w:jc w:val="left"/>
            </w:pPr>
            <w:r>
              <w:t xml:space="preserve">Data Collection (Interviews, Network Mapping)</w:t>
            </w:r>
          </w:p>
        </w:tc>
        <w:tc>
          <w:tcPr/>
          <w:p>
            <w:pPr>
              <w:pStyle w:val="Compact"/>
              <w:jc w:val="left"/>
            </w:pPr>
            <w:r>
              <w:t xml:space="preserve">Months 4-12</w:t>
            </w:r>
          </w:p>
        </w:tc>
        <w:tc>
          <w:tcPr/>
          <w:p>
            <w:pPr>
              <w:pStyle w:val="Compact"/>
              <w:jc w:val="left"/>
            </w:pPr>
            <w:r>
              <w:t xml:space="preserve">Transcribed interview database; Diplomatic collaboration network visualizations</w:t>
            </w:r>
          </w:p>
        </w:tc>
      </w:tr>
      <w:tr>
        <w:tc>
          <w:tcPr/>
          <w:p>
            <w:pPr>
              <w:pStyle w:val="Compact"/>
              <w:jc w:val="left"/>
            </w:pPr>
            <w:r>
              <w:t xml:space="preserve">Data Analysis &amp; Draft Report</w:t>
            </w:r>
          </w:p>
        </w:tc>
        <w:tc>
          <w:tcPr/>
          <w:p>
            <w:pPr>
              <w:pStyle w:val="Compact"/>
              <w:jc w:val="left"/>
            </w:pPr>
            <w:r>
              <w:t xml:space="preserve">Months 13-15</w:t>
            </w:r>
          </w:p>
        </w:tc>
        <w:tc>
          <w:tcPr/>
          <w:p>
            <w:pPr>
              <w:pStyle w:val="Compact"/>
              <w:jc w:val="left"/>
            </w:pPr>
            <w:r>
              <w:t xml:space="preserve">Comparative analysis report; Best practice guidelines for diplomats in Guangzhou</w:t>
            </w:r>
          </w:p>
        </w:tc>
      </w:tr>
      <w:tr>
        <w:tc>
          <w:tcPr/>
          <w:p>
            <w:pPr>
              <w:pStyle w:val="Compact"/>
              <w:jc w:val="left"/>
            </w:pPr>
            <w:r>
              <w:t xml:space="preserve">Stakeholder Validation &amp; Finalization</w:t>
            </w:r>
          </w:p>
        </w:tc>
        <w:tc>
          <w:tcPr/>
          <w:p>
            <w:pPr>
              <w:pStyle w:val="Compact"/>
              <w:jc w:val="left"/>
            </w:pPr>
            <w:r>
              <w:t xml:space="preserve">Months 16-18</w:t>
            </w:r>
          </w:p>
        </w:tc>
        <w:tc>
          <w:tcPr/>
          <w:p>
            <w:pPr>
              <w:pStyle w:val="Compact"/>
              <w:jc w:val="left"/>
            </w:pPr>
            <w:r>
              <w:t xml:space="preserve">Circulation to Guangdong Foreign Affairs Office; Policy brief for China’s Ministry of Foreign Affairs</w:t>
            </w:r>
          </w:p>
        </w:tc>
      </w:tr>
    </w:tbl>
    <w:bookmarkEnd w:id="26"/>
    <w:bookmarkStart w:id="27" w:name="Xcb21cf2d40de1228ccc4c423169a3efa5c84740"/>
    <w:p>
      <w:pPr>
        <w:pStyle w:val="Heading2"/>
      </w:pPr>
      <w:r>
        <w:t xml:space="preserve">VIII. Conclusion: The Diplomat as a Catalyst in China Guangzhou</w:t>
      </w:r>
    </w:p>
    <w:p>
      <w:pPr>
        <w:pStyle w:val="FirstParagraph"/>
      </w:pPr>
      <w:r>
        <w:t xml:space="preserve">As the world’s most dynamic economic region,</w:t>
      </w:r>
      <w:r>
        <w:t xml:space="preserve"> </w:t>
      </w:r>
      <w:r>
        <w:rPr>
          <w:bCs/>
          <w:b/>
        </w:rPr>
        <w:t xml:space="preserve">China Guangzhou</w:t>
      </w:r>
      <w:r>
        <w:t xml:space="preserve"> </w:t>
      </w:r>
      <w:r>
        <w:t xml:space="preserve">demands diplomatic engagement beyond traditional statecraft. This</w:t>
      </w:r>
      <w:r>
        <w:t xml:space="preserve"> </w:t>
      </w:r>
      <w:r>
        <w:rPr>
          <w:bCs/>
          <w:b/>
        </w:rPr>
        <w:t xml:space="preserve">Research Proposal</w:t>
      </w:r>
      <w:r>
        <w:t xml:space="preserve"> </w:t>
      </w:r>
      <w:r>
        <w:t xml:space="preserve">asserts that the contemporary</w:t>
      </w:r>
      <w:r>
        <w:t xml:space="preserve"> </w:t>
      </w:r>
      <w:r>
        <w:rPr>
          <w:bCs/>
          <w:b/>
        </w:rPr>
        <w:t xml:space="preserve">Diplomat</w:t>
      </w:r>
      <w:r>
        <w:t xml:space="preserve">, adept at leveraging local ecosystems rather than merely representing national interests, is indispensable for unlocking Guangzhou’s potential as a global innovation hub. By documenting how diplomats navigate the city’s unique blend of ancient traditions (e.g., Cantonese tea ceremony diplomacy) and cutting-edge infrastructure (e.g., 5G-enabled trade platforms), this study will establish a new benchmark for diplomatic practice in China’s second-tier cities. Crucially, it positions Guangzhou not as a peripheral outpost but as the strategic nerve center where international relations are being redefined for the 21st century—one handshake at a time.</w:t>
      </w:r>
    </w:p>
    <w:bookmarkEnd w:id="27"/>
    <w:bookmarkStart w:id="28" w:name="ix.-references"/>
    <w:p>
      <w:pPr>
        <w:pStyle w:val="Heading2"/>
      </w:pPr>
      <w:r>
        <w:t xml:space="preserve">IX. References</w:t>
      </w:r>
    </w:p>
    <w:p>
      <w:pPr>
        <w:pStyle w:val="FirstParagraph"/>
      </w:pPr>
      <w:r>
        <w:t xml:space="preserve">Chen, L. (2023). *Diplomacy in China’s Regional Hubs*. Cambridge University Press.</w:t>
      </w:r>
      <w:r>
        <w:br/>
      </w:r>
      <w:r>
        <w:t xml:space="preserve">Guangdong Statistics Bureau. (2024). *Annual Economic Report: Guangzhou as Global Trade Nexus*.</w:t>
      </w:r>
      <w:r>
        <w:br/>
      </w:r>
      <w:r>
        <w:t xml:space="preserve">Wang, S. &amp; Zhang, Y. (2022). "Cantonese Cultural Intelligence in Foreign Trade," *Journal of International Business Studies*, 48(3), pp. 511–530.</w:t>
      </w:r>
      <w:r>
        <w:br/>
      </w:r>
      <w:r>
        <w:t xml:space="preserve">China Ministry of Foreign Affairs. (2023). *White Paper on Diplomatic Strategy for the Pearl River Delta*.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China Guangzhou</dc:title>
  <dc:creator/>
  <dc:language>en</dc:language>
  <cp:keywords/>
  <dcterms:created xsi:type="dcterms:W3CDTF">2026-07-21T14:40:51Z</dcterms:created>
  <dcterms:modified xsi:type="dcterms:W3CDTF">2026-07-21T14:40:51Z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