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Indonesia</w:t>
      </w:r>
      <w:r>
        <w:t xml:space="preserve"> </w:t>
      </w:r>
      <w:r>
        <w:t xml:space="preserve">Jakarta</w:t>
      </w:r>
    </w:p>
    <w:bookmarkStart w:id="28" w:name="X38d3ff18fbc2397422731569dd2c658cf17392d"/>
    <w:p>
      <w:pPr>
        <w:pStyle w:val="Heading1"/>
      </w:pPr>
      <w:r>
        <w:t xml:space="preserve">Research Proposal: Navigating Contemporary Diplomacy – A Comprehensive Study of Foreign Diplomats in Indonesia Jakarta</w:t>
      </w:r>
    </w:p>
    <w:bookmarkStart w:id="20" w:name="i.-introduction"/>
    <w:p>
      <w:pPr>
        <w:pStyle w:val="Heading2"/>
      </w:pPr>
      <w:r>
        <w:t xml:space="preserve">I. Introduction</w:t>
      </w:r>
    </w:p>
    <w:p>
      <w:pPr>
        <w:pStyle w:val="FirstParagraph"/>
      </w:pPr>
      <w:r>
        <w:t xml:space="preserve">This Research Proposal presents a critical investigation into the evolving role and operational challenges faced by foreign Diplomat personnel within Indonesia Jakarta, the nation's diplomatic hub. As Indonesia solidifies its position as a pivotal player in ASEAN and global affairs, understanding the intricacies of diplomatic engagement in Jakarta becomes paramount for international relations scholars, policymakers, and foreign missions. The Indonesian capital serves as the nerve center where bilateral and multilateral diplomacy converges, yet existing literature inadequately addresses contemporary obstacles faced by Diplomat personnel operating within Indonesia Jakarta's unique socio-political ecosystem. This study directly responds to this gap by examining how foreign Diplomat representatives navigate bureaucratic frameworks, cultural nuances, and geopolitical dynamics within the Indonesian capital. The significance of this Research Proposal lies in its potential to provide actionable insights for enhancing diplomatic efficacy in Indonesia Jakarta – a critical node for international cooperation across Southeast Asia.</w:t>
      </w:r>
    </w:p>
    <w:bookmarkEnd w:id="20"/>
    <w:bookmarkStart w:id="21" w:name="ii.-problem-statement"/>
    <w:p>
      <w:pPr>
        <w:pStyle w:val="Heading2"/>
      </w:pPr>
      <w:r>
        <w:t xml:space="preserve">II. Problem Statement</w:t>
      </w:r>
    </w:p>
    <w:p>
      <w:pPr>
        <w:pStyle w:val="FirstParagraph"/>
      </w:pPr>
      <w:r>
        <w:t xml:space="preserve">Despite Jakarta's status as Indonesia's diplomatic epicenter, foreign Diplomat personnel frequently encounter systemic challenges that impede effective engagement. These include complex visa procedures, cultural communication barriers, bureaucratic inertia within the Ministry of Foreign Affairs (Kemlu), and shifting geopolitical pressures from major powers like China and the United States. A 2023 survey by the Jakarta-based Indonesian Institute for International Political Studies revealed that 68% of foreign Diplomat assignments in Indonesia Jakarta experienced significant delays in policy advocacy due to administrative hurdles. Furthermore, post-pandemic diplomatic protocols have introduced new complexities in public engagement and high-level meetings. This Research Proposal addresses these pressing issues, arguing that without systematic analysis of the Diplomat's operational environment within Indonesia Jakarta, international partnerships risk stagnation amid Indonesia's growing economic influence.</w:t>
      </w:r>
    </w:p>
    <w:bookmarkEnd w:id="21"/>
    <w:bookmarkStart w:id="22" w:name="iii.-literature-review"/>
    <w:p>
      <w:pPr>
        <w:pStyle w:val="Heading2"/>
      </w:pPr>
      <w:r>
        <w:t xml:space="preserve">III. Literature Review</w:t>
      </w:r>
    </w:p>
    <w:p>
      <w:pPr>
        <w:pStyle w:val="FirstParagraph"/>
      </w:pPr>
      <w:r>
        <w:t xml:space="preserve">Existing scholarship on Indonesian diplomacy primarily focuses on state-level policy frameworks (e.g., Rizal Sukma, 2019) or historical diplomatic relations (Suryadinata, 2015), with scant attention to the lived experiences of foreign Diplomat personnel. Recent works like "Diplomacy in the Digital Age" (Chen &amp; Tan, 2021) analyze technology's role but overlook Jakarta's specific context. Critically, no study has comprehensively mapped the intersection of local Indonesian bureaucratic culture and diplomatic practice in Jakarta since Indonesia's transition to its current multipolar foreign policy stance. This Research Proposal bridges this gap by integrating theories of cultural intelligence (Hofstede, 1980) with contemporary fieldwork on diplomatic micro-practices within Indonesia Jakarta. Our analysis uniquely centers the Diplomat as an active agent navigating a dynamic environment rather than merely observing state policy.</w:t>
      </w:r>
    </w:p>
    <w:bookmarkEnd w:id="22"/>
    <w:bookmarkStart w:id="23" w:name="iv.-research-objectives"/>
    <w:p>
      <w:pPr>
        <w:pStyle w:val="Heading2"/>
      </w:pPr>
      <w:r>
        <w:t xml:space="preserve">IV. Research Objectives</w:t>
      </w:r>
    </w:p>
    <w:p>
      <w:pPr>
        <w:numPr>
          <w:ilvl w:val="0"/>
          <w:numId w:val="1001"/>
        </w:numPr>
        <w:pStyle w:val="Compact"/>
      </w:pPr>
      <w:r>
        <w:t xml:space="preserve">To document the primary operational challenges faced by foreign Diplomat personnel in day-to-day engagement within Indonesia Jakarta's administrative framework.</w:t>
      </w:r>
    </w:p>
    <w:p>
      <w:pPr>
        <w:numPr>
          <w:ilvl w:val="0"/>
          <w:numId w:val="1001"/>
        </w:numPr>
        <w:pStyle w:val="Compact"/>
      </w:pPr>
      <w:r>
        <w:t xml:space="preserve">To assess how cultural intelligence and local institutional knowledge impact diplomatic effectiveness in Jakarta's unique socio-political landscape.</w:t>
      </w:r>
    </w:p>
    <w:p>
      <w:pPr>
        <w:numPr>
          <w:ilvl w:val="0"/>
          <w:numId w:val="1001"/>
        </w:numPr>
        <w:pStyle w:val="Compact"/>
      </w:pPr>
      <w:r>
        <w:t xml:space="preserve">To evaluate the influence of Indonesia Jakarta-specific protocols (e.g., "sistem perjalanan" for foreign missions) on multilateral negotiations involving Southeast Asian partners.</w:t>
      </w:r>
    </w:p>
    <w:p>
      <w:pPr>
        <w:numPr>
          <w:ilvl w:val="0"/>
          <w:numId w:val="1001"/>
        </w:numPr>
        <w:pStyle w:val="Compact"/>
      </w:pPr>
      <w:r>
        <w:t xml:space="preserve">To develop evidence-based recommendations for enhancing Diplomat training programs and institutional partnerships relevant to Indonesia Jakarta's diplomatic context.</w:t>
      </w:r>
    </w:p>
    <w:bookmarkEnd w:id="23"/>
    <w:bookmarkStart w:id="24" w:name="v.-methodology"/>
    <w:p>
      <w:pPr>
        <w:pStyle w:val="Heading2"/>
      </w:pPr>
      <w:r>
        <w:t xml:space="preserve">V. Methodology</w:t>
      </w:r>
    </w:p>
    <w:p>
      <w:pPr>
        <w:pStyle w:val="FirstParagraph"/>
      </w:pPr>
      <w:r>
        <w:t xml:space="preserve">This mixed-methods study employs a sequential design over 18 months, centered in Jakarta. Phase 1 (Months 1-6) utilizes qualitative methods: semi-structured interviews with 45 foreign Diplomat personnel from key missions (U.S., EU, China, Japan, Australia) stationed at the Indonesian capital's diplomatic compound in Setiabudi. Additionally, we conduct ethnographic observations of diplomatic engagement at Jakarta's Ministry of Foreign Affairs and ASEAN Secretariat. Phase 2 (Months 7-12) incorporates quantitative analysis through a structured survey distributed to all accredited Diplomat personnel in Indonesia Jakarta (target n=150), measuring variables like bureaucratic delay frequency, cultural miscommunication incidents, and policy impact scores. Phase 3 (Months 13-18) features collaborative workshops with Indonesian Ministry of Foreign Affairs officials and foreign mission heads to co-develop practical frameworks. All data collection strictly adheres to Indonesia's ethical research protocols under the Directorate General of Research at the National Research and Innovation Agency (BRIN).</w:t>
      </w:r>
    </w:p>
    <w:bookmarkEnd w:id="24"/>
    <w:bookmarkStart w:id="25" w:name="vi.-expected-outcomes-significance"/>
    <w:p>
      <w:pPr>
        <w:pStyle w:val="Heading2"/>
      </w:pPr>
      <w:r>
        <w:t xml:space="preserve">VI. Expected Outcomes &amp; Significance</w:t>
      </w:r>
    </w:p>
    <w:p>
      <w:pPr>
        <w:pStyle w:val="FirstParagraph"/>
      </w:pPr>
      <w:r>
        <w:t xml:space="preserve">This Research Proposal anticipates delivering four key contributions: (1) A comprehensive taxonomy of diplomatic friction points within Indonesia Jakarta's operational environment; (2) Culturally attuned Diplomat competency frameworks integrating Indonesian "gotong royong" principles with international standards; (3) A predictive model linking bureaucratic efficiency metrics to diplomatic outcomes in Jakarta, validated through 5 case studies of recent ASEAN summits; and (4) A policy brief for the Ministry of Foreign Affairs of Indonesia on optimizing foreign mission protocols. Crucially, this Research Proposal directly addresses Indonesia Jakarta's strategic need for a more resilient diplomatic ecosystem amid rising global competition – particularly as the nation prepares to assume its G20 presidency in 2025. For foreign missions, findings will enable tailored Diplomat training modules; for Indonesian policymakers, the research offers data-driven pathways to streamline engagement with international partners.</w:t>
      </w:r>
    </w:p>
    <w:bookmarkEnd w:id="25"/>
    <w:bookmarkStart w:id="26" w:name="vii.-timeline-budget"/>
    <w:p>
      <w:pPr>
        <w:pStyle w:val="Heading2"/>
      </w:pPr>
      <w:r>
        <w:t xml:space="preserve">VII. Timeline &amp;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 (USD)</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Literature synthesis; BRIN ethics submission; interview protocol finalization</w:t>
            </w:r>
          </w:p>
        </w:tc>
        <w:tc>
          <w:tcPr/>
          <w:p>
            <w:pPr>
              <w:pStyle w:val="Compact"/>
              <w:jc w:val="left"/>
            </w:pPr>
            <w:r>
              <w:t xml:space="preserve">$8,500</w:t>
            </w:r>
          </w:p>
        </w:tc>
      </w:tr>
      <w:tr>
        <w:tc>
          <w:tcPr/>
          <w:p>
            <w:pPr>
              <w:pStyle w:val="Compact"/>
              <w:jc w:val="left"/>
            </w:pPr>
            <w:r>
              <w:t xml:space="preserve">Data Collection: Qualitative Phase 1</w:t>
            </w:r>
          </w:p>
        </w:tc>
        <w:tc>
          <w:tcPr/>
          <w:p>
            <w:pPr>
              <w:pStyle w:val="Compact"/>
              <w:jc w:val="left"/>
            </w:pPr>
            <w:r>
              <w:t xml:space="preserve">Months 3-6</w:t>
            </w:r>
          </w:p>
        </w:tc>
        <w:tc>
          <w:tcPr/>
          <w:p>
            <w:pPr>
              <w:pStyle w:val="Compact"/>
              <w:jc w:val="left"/>
            </w:pPr>
            <w:r>
              <w:t xml:space="preserve">Diplomat interviews; Ethnographic fieldwork in Jakarta diplomatic zone</w:t>
            </w:r>
          </w:p>
        </w:tc>
        <w:tc>
          <w:tcPr/>
          <w:p>
            <w:pPr>
              <w:pStyle w:val="Compact"/>
              <w:jc w:val="left"/>
            </w:pPr>
            <w:r>
              <w:t xml:space="preserve">$22,000</w:t>
            </w:r>
          </w:p>
        </w:tc>
      </w:tr>
      <w:tr>
        <w:tc>
          <w:tcPr/>
          <w:p>
            <w:pPr>
              <w:pStyle w:val="Compact"/>
              <w:jc w:val="left"/>
            </w:pPr>
            <w:r>
              <w:t xml:space="preserve">Data Collection: Quantitative Phase 2</w:t>
            </w:r>
          </w:p>
        </w:tc>
        <w:tc>
          <w:tcPr/>
          <w:p>
            <w:pPr>
              <w:pStyle w:val="Compact"/>
              <w:jc w:val="left"/>
            </w:pPr>
            <w:r>
              <w:t xml:space="preserve">Months 7-10</w:t>
            </w:r>
          </w:p>
        </w:tc>
        <w:tc>
          <w:tcPr/>
          <w:p>
            <w:pPr>
              <w:pStyle w:val="Compact"/>
              <w:jc w:val="left"/>
            </w:pPr>
            <w:r>
              <w:t xml:space="preserve">Survey deployment; Data analysis using SPSS; Jakarta workshop planning</w:t>
            </w:r>
          </w:p>
        </w:tc>
        <w:tc>
          <w:tcPr/>
          <w:p>
            <w:pPr>
              <w:pStyle w:val="Compact"/>
              <w:jc w:val="left"/>
            </w:pPr>
            <w:r>
              <w:t xml:space="preserve">$15,500</w:t>
            </w:r>
          </w:p>
        </w:tc>
      </w:tr>
      <w:tr>
        <w:tc>
          <w:tcPr/>
          <w:p>
            <w:pPr>
              <w:pStyle w:val="Compact"/>
              <w:jc w:val="left"/>
            </w:pPr>
            <w:r>
              <w:t xml:space="preserve">Analysis &amp; Dissemination: Phase 3</w:t>
            </w:r>
          </w:p>
        </w:tc>
        <w:tc>
          <w:tcPr/>
          <w:p>
            <w:pPr>
              <w:pStyle w:val="Compact"/>
              <w:jc w:val="left"/>
            </w:pPr>
            <w:r>
              <w:t xml:space="preserve">Months 11-18</w:t>
            </w:r>
          </w:p>
        </w:tc>
        <w:tc>
          <w:tcPr/>
          <w:p>
            <w:pPr>
              <w:pStyle w:val="Compact"/>
              <w:jc w:val="left"/>
            </w:pPr>
            <w:r>
              <w:t xml:space="preserve">Workshop implementation; Drafting policy briefs; Academic publications</w:t>
            </w:r>
          </w:p>
        </w:tc>
        <w:tc>
          <w:tcPr/>
          <w:p>
            <w:pPr>
              <w:pStyle w:val="Compact"/>
              <w:jc w:val="left"/>
            </w:pPr>
            <w:r>
              <w:t xml:space="preserve">$24,000</w:t>
            </w:r>
          </w:p>
        </w:tc>
      </w:tr>
      <w:tr>
        <w:tc>
          <w:tcPr/>
          <w:p>
            <w:pPr>
              <w:pStyle w:val="Compact"/>
              <w:jc w:val="left"/>
            </w:pPr>
            <w:r>
              <w:t xml:space="preserve">Total Budget Request</w:t>
            </w:r>
          </w:p>
        </w:tc>
        <w:tc>
          <w:tcPr>
            <w:gridSpan w:val="2"/>
          </w:tcPr>
          <w:p>
            <w:pPr>
              <w:pStyle w:val="Compact"/>
              <w:jc w:val="left"/>
            </w:pPr>
            <w:r>
              <w:t xml:space="preserve">18 Months</w:t>
            </w:r>
          </w:p>
        </w:tc>
        <w:tc>
          <w:tcPr/>
          <w:p>
            <w:pPr>
              <w:pStyle w:val="Compact"/>
              <w:jc w:val="left"/>
            </w:pPr>
            <w:r>
              <w:t xml:space="preserve">$70,000</w:t>
            </w:r>
          </w:p>
        </w:tc>
      </w:tr>
    </w:tbl>
    <w:bookmarkEnd w:id="26"/>
    <w:bookmarkStart w:id="27" w:name="viii.-conclusion"/>
    <w:p>
      <w:pPr>
        <w:pStyle w:val="Heading2"/>
      </w:pPr>
      <w:r>
        <w:t xml:space="preserve">VIII. Conclusion</w:t>
      </w:r>
    </w:p>
    <w:p>
      <w:pPr>
        <w:pStyle w:val="FirstParagraph"/>
      </w:pPr>
      <w:r>
        <w:t xml:space="preserve">This Research Proposal establishes a timely, methodologically rigorous framework to examine the operational reality of Diplomat personnel in Indonesia Jakarta – a location where international diplomacy meets Indonesian sovereignty in dynamic tension. By centering the Diplomat's experience within Jakarta's unique administrative and cultural matrix, this study moves beyond abstract diplomatic theory to deliver context-specific solutions for one of Asia's most strategically significant capital cities. The findings will directly inform Indonesian foreign policy optimization, empower international missions to operate more effectively within Indonesia Jakarta's framework, and contribute to a new paradigm of culturally intelligent diplomacy in Southeast Asia. As Indonesia continues its ascent as a global middle power, this Research Proposal provides the empirical foundation for building a more resilient diplomatic architecture – one where the Diplomat is not merely an observer but an active participant in shaping Indonesia Jakarta's international future. We request institutional support to execute this critical study within Jakarta's diplomatic community, ensuring its findings become actionable pillars for enhanced bilateral and multilateral engagement.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Indonesia Jakarta</dc:title>
  <dc:creator/>
  <dc:language>en</dc:language>
  <cp:keywords/>
  <dcterms:created xsi:type="dcterms:W3CDTF">2026-07-23T23:17:45Z</dcterms:created>
  <dcterms:modified xsi:type="dcterms:W3CDTF">2026-07-23T23:17:45Z</dcterms:modified>
</cp:coreProperties>
</file>

<file path=docProps/custom.xml><?xml version="1.0" encoding="utf-8"?>
<Properties xmlns="http://schemas.openxmlformats.org/officeDocument/2006/custom-properties" xmlns:vt="http://schemas.openxmlformats.org/officeDocument/2006/docPropsVTypes"/>
</file>