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Japan</w:t>
      </w:r>
      <w:r>
        <w:t xml:space="preserve"> </w:t>
      </w:r>
      <w:r>
        <w:t xml:space="preserve">Osaka</w:t>
      </w:r>
    </w:p>
    <w:bookmarkStart w:id="28" w:name="X19de6853630ca879a471323f03bc1972eac595d"/>
    <w:p>
      <w:pPr>
        <w:pStyle w:val="Heading1"/>
      </w:pPr>
      <w:r>
        <w:t xml:space="preserve">Research Proposal: The Evolving Role of Diplomats in Japan Osaka - Fostering International Synergy in a Global Metropolis</w:t>
      </w:r>
    </w:p>
    <w:bookmarkStart w:id="20" w:name="introduction-and-background"/>
    <w:p>
      <w:pPr>
        <w:pStyle w:val="Heading2"/>
      </w:pPr>
      <w:r>
        <w:t xml:space="preserve">1. Introduction and Background</w:t>
      </w:r>
    </w:p>
    <w:p>
      <w:pPr>
        <w:pStyle w:val="FirstParagraph"/>
      </w:pPr>
      <w:r>
        <w:t xml:space="preserve">The geopolitical landscape of the 21st century demands nuanced diplomatic engagement beyond traditional state-to-state relations. In this context, Japan's third-largest city, Osaka, has emerged as a critical nexus for international collaboration. As a global hub for trade, technology, and culture in the Kansai region—home to over 3 million residents and hosting 22 foreign consulates—the role of</w:t>
      </w:r>
      <w:r>
        <w:t xml:space="preserve"> </w:t>
      </w:r>
      <w:r>
        <w:rPr>
          <w:bCs/>
          <w:b/>
        </w:rPr>
        <w:t xml:space="preserve">Diplomat</w:t>
      </w:r>
      <w:r>
        <w:t xml:space="preserve"> </w:t>
      </w:r>
      <w:r>
        <w:t xml:space="preserve">in Osaka transcends conventional representation. This research proposal examines how modern diplomats operate within Osaka's unique socio-economic ecosystem to advance Japan's soft power, economic interests, and cultural diplomacy. With Japan prioritizing "Global Innovation Partnerships" (GIP) under its Foreign Policy 2023 framework, understanding the on-the-ground practices of diplomats in Osaka becomes essential for optimizing international engagement strategies.</w:t>
      </w:r>
    </w:p>
    <w:bookmarkEnd w:id="20"/>
    <w:bookmarkStart w:id="21" w:name="problem-statement"/>
    <w:p>
      <w:pPr>
        <w:pStyle w:val="Heading2"/>
      </w:pPr>
      <w:r>
        <w:t xml:space="preserve">2. Problem Statement</w:t>
      </w:r>
    </w:p>
    <w:p>
      <w:pPr>
        <w:pStyle w:val="FirstParagraph"/>
      </w:pPr>
      <w:r>
        <w:t xml:space="preserve">Current diplomatic frameworks often treat Osaka as a peripheral node to Tokyo's central foreign policy operations. However, Osaka's distinct characteristics—its status as a commercial powerhouse (accounting for 8% of Japan's GDP), its historical role as the "Kitchen of Japan" with deep Chinese and Southeast Asian ties, and its recent hosting of major international events like the G20 Summit in 2019—demand specialized diplomatic approaches. This disconnect creates inefficiencies: consular staff in Osaka frequently manage economic partnerships that bypass Tokyo's oversight, while cultural exchanges face logistical barriers due to Tokyo-centric resource allocation. The research addresses this gap by investigating how</w:t>
      </w:r>
      <w:r>
        <w:t xml:space="preserve"> </w:t>
      </w:r>
      <w:r>
        <w:rPr>
          <w:bCs/>
          <w:b/>
        </w:rPr>
        <w:t xml:space="preserve">Diplomat</w:t>
      </w:r>
      <w:r>
        <w:t xml:space="preserve"> </w:t>
      </w:r>
      <w:r>
        <w:t xml:space="preserve">roles must evolve to leverage Osaka's unique position, ensuring Japan's foreign policy achieves maximum impact without duplicating efforts.</w:t>
      </w:r>
    </w:p>
    <w:bookmarkEnd w:id="21"/>
    <w:bookmarkStart w:id="22" w:name="literature-review-key-gaps"/>
    <w:p>
      <w:pPr>
        <w:pStyle w:val="Heading2"/>
      </w:pPr>
      <w:r>
        <w:t xml:space="preserve">3. Literature Review (Key Gaps)</w:t>
      </w:r>
    </w:p>
    <w:p>
      <w:pPr>
        <w:pStyle w:val="FirstParagraph"/>
      </w:pPr>
      <w:r>
        <w:t xml:space="preserve">Existing scholarship on diplomacy focuses heavily on capital cities (e.g., Tokyo or Washington D.C.), with minimal studies on secondary diplomatic hubs. While research by Tanaka (2020) explores Osaka's economic role, and Yamada (2021) analyzes cultural diplomacy in Kyoto, no work specifically examines</w:t>
      </w:r>
      <w:r>
        <w:t xml:space="preserve"> </w:t>
      </w:r>
      <w:r>
        <w:rPr>
          <w:bCs/>
          <w:b/>
        </w:rPr>
        <w:t xml:space="preserve">Diplomat</w:t>
      </w:r>
      <w:r>
        <w:t xml:space="preserve"> </w:t>
      </w:r>
      <w:r>
        <w:t xml:space="preserve">operational frameworks in Osaka. Crucially, literature overlooks how Japan's "Local Diplomacy" initiative—launched in 2016 to empower regional cities—is implemented at ground level. This proposal fills that void by focusing on actionable insights from Osaka's diplomatic corps, where consular officers actively negotiate trade agreements for local SMEs and manage cross-cultural programs with ASEAN partners.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To map the evolving responsibilities of diplomats operating from Osaka's consulates, identifying unique challenges and opportunities absent in Tokyo-centric models.</w:t>
      </w:r>
    </w:p>
    <w:p>
      <w:pPr>
        <w:pStyle w:val="BodyText"/>
      </w:pPr>
      <w:r>
        <w:rPr>
          <w:bCs/>
          <w:b/>
        </w:rPr>
        <w:t xml:space="preserve">Secondary Objectives:</w:t>
      </w:r>
    </w:p>
    <w:p>
      <w:pPr>
        <w:numPr>
          <w:ilvl w:val="0"/>
          <w:numId w:val="1001"/>
        </w:numPr>
        <w:pStyle w:val="Compact"/>
      </w:pPr>
      <w:r>
        <w:t xml:space="preserve">Evaluate how Osaka-based diplomats facilitate economic partnerships between Japanese SMEs and emerging markets (e.g., Vietnam, Indonesia).</w:t>
      </w:r>
    </w:p>
    <w:p>
      <w:pPr>
        <w:numPr>
          <w:ilvl w:val="0"/>
          <w:numId w:val="1001"/>
        </w:numPr>
        <w:pStyle w:val="Compact"/>
      </w:pPr>
      <w:r>
        <w:t xml:space="preserve">Analyze the impact of cultural diplomacy initiatives (e.g., Osaka International Festival, Kansai Film Festival) on regional soft power metrics.</w:t>
      </w:r>
    </w:p>
    <w:p>
      <w:pPr>
        <w:numPr>
          <w:ilvl w:val="0"/>
          <w:numId w:val="1001"/>
        </w:numPr>
        <w:pStyle w:val="Compact"/>
      </w:pPr>
      <w:r>
        <w:t xml:space="preserve">Assess institutional barriers hindering seamless coordination between Osaka diplomats and Tokyo's Ministry of Foreign Affairs (MOFA).</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Qualitative Interviews:</w:t>
      </w:r>
      <w:r>
        <w:t xml:space="preserve"> </w:t>
      </w:r>
      <w:r>
        <w:t xml:space="preserve">Semi-structured interviews with 30+ diplomats from Osaka consulates (including U.S., EU, Chinese, and ASEAN missions), MOFA officials in Tokyo, and business leaders from Osaka's Chamber of Commerce. Sampling ensures representation across diplomatic seniority (junior officers to Consuls General).</w:t>
      </w:r>
    </w:p>
    <w:p>
      <w:pPr>
        <w:numPr>
          <w:ilvl w:val="0"/>
          <w:numId w:val="1002"/>
        </w:numPr>
        <w:pStyle w:val="Compact"/>
      </w:pPr>
      <w:r>
        <w:rPr>
          <w:bCs/>
          <w:b/>
        </w:rPr>
        <w:t xml:space="preserve">Case Study Analysis:</w:t>
      </w:r>
      <w:r>
        <w:t xml:space="preserve"> </w:t>
      </w:r>
      <w:r>
        <w:t xml:space="preserve">In-depth examination of three Osaka-specific initiatives: the "Osaka-Singapore Economic Corridor" trade agreement, the "Kansai Cultural Ambassador Program," and pandemic-era consular support for foreign students.</w:t>
      </w:r>
    </w:p>
    <w:p>
      <w:pPr>
        <w:numPr>
          <w:ilvl w:val="0"/>
          <w:numId w:val="1002"/>
        </w:numPr>
        <w:pStyle w:val="Compact"/>
      </w:pPr>
      <w:r>
        <w:rPr>
          <w:bCs/>
          <w:b/>
        </w:rPr>
        <w:t xml:space="preserve">Quantitative Data Synthesis:</w:t>
      </w:r>
      <w:r>
        <w:t xml:space="preserve"> </w:t>
      </w:r>
      <w:r>
        <w:t xml:space="preserve">Cross-referencing diplomatic engagement metrics (e.g., SME partnership numbers, cultural event attendance) with MOFA's official reports to measure outcomes against Tokyo-defined benchmarks.</w:t>
      </w:r>
    </w:p>
    <w:p>
      <w:pPr>
        <w:pStyle w:val="FirstParagraph"/>
      </w:pPr>
      <w:r>
        <w:t xml:space="preserve">Data collection will occur over 12 months (Q1 2025–Q4 2025), with ethical approval secured from Osaka University’s IRB. Analysis will use NVivo for thematic coding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rPr>
          <w:bCs/>
          <w:b/>
        </w:rPr>
        <w:t xml:space="preserve">Operational Framework:</w:t>
      </w:r>
      <w:r>
        <w:t xml:space="preserve"> </w:t>
      </w:r>
      <w:r>
        <w:t xml:space="preserve">A tailored "Osaka Diplomacy Model" outlining best practices for secondary-city diplomacy, including protocols for SME engagement and crisis management (e.g., managing foreign business disruptions during typhoons).</w:t>
      </w:r>
    </w:p>
    <w:p>
      <w:pPr>
        <w:numPr>
          <w:ilvl w:val="0"/>
          <w:numId w:val="1003"/>
        </w:numPr>
        <w:pStyle w:val="Compact"/>
      </w:pPr>
      <w:r>
        <w:rPr>
          <w:bCs/>
          <w:b/>
        </w:rPr>
        <w:t xml:space="preserve">Policy Recommendations:</w:t>
      </w:r>
      <w:r>
        <w:t xml:space="preserve"> </w:t>
      </w:r>
      <w:r>
        <w:t xml:space="preserve">Evidence-based proposals to MOFA on restructuring resource allocation—e.g., establishing an Osaka-specific diplomatic task force within MOFA to fast-track regional economic deals.</w:t>
      </w:r>
    </w:p>
    <w:p>
      <w:pPr>
        <w:numPr>
          <w:ilvl w:val="0"/>
          <w:numId w:val="1003"/>
        </w:numPr>
        <w:pStyle w:val="Compact"/>
      </w:pPr>
      <w:r>
        <w:rPr>
          <w:bCs/>
          <w:b/>
        </w:rPr>
        <w:t xml:space="preserve">Academic Contribution:</w:t>
      </w:r>
      <w:r>
        <w:t xml:space="preserve"> </w:t>
      </w:r>
      <w:r>
        <w:t xml:space="preserve">First comprehensive study on non-capital city diplomacy in East Asia, challenging the "capital-centric" paradigm in international relations theory.</w:t>
      </w:r>
    </w:p>
    <w:p>
      <w:pPr>
        <w:numPr>
          <w:ilvl w:val="0"/>
          <w:numId w:val="1003"/>
        </w:numPr>
        <w:pStyle w:val="Compact"/>
      </w:pPr>
      <w:r>
        <w:rPr>
          <w:bCs/>
          <w:b/>
        </w:rPr>
        <w:t xml:space="preserve">Societal Impact:</w:t>
      </w:r>
      <w:r>
        <w:t xml:space="preserve"> </w:t>
      </w:r>
      <w:r>
        <w:t xml:space="preserve">Enhanced cultural understanding between Osaka residents and foreign communities through data-informed programs (e.g., targeted language initiatives for Vietnamese expats managing local startups).</w:t>
      </w:r>
    </w:p>
    <w:p>
      <w:pPr>
        <w:pStyle w:val="FirstParagraph"/>
      </w:pPr>
      <w:r>
        <w:t xml:space="preserve">The significance extends globally. As cities like Seoul, Shanghai, and Singapore adopt similar "regional diplomacy" models, this study offers a replicable blueprint for optimizing urban engagement in international affairs. For Japan Osaka specifically—where 40% of foreign residents live outside Tokyo—the findings will directly strengthen community cohesion and economic resilience.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Ethical Approval</w:t>
            </w:r>
          </w:p>
        </w:tc>
        <w:tc>
          <w:tcPr/>
          <w:p>
            <w:pPr>
              <w:pStyle w:val="Compact"/>
              <w:jc w:val="left"/>
            </w:pPr>
            <w:r>
              <w:t xml:space="preserve">Jan–Mar 2025</w:t>
            </w:r>
          </w:p>
        </w:tc>
        <w:tc>
          <w:tcPr/>
          <w:p>
            <w:pPr>
              <w:pStyle w:val="Compact"/>
              <w:jc w:val="left"/>
            </w:pPr>
            <w:r>
              <w:t xml:space="preserve">IHRB clearance, interview protocols finalized</w:t>
            </w:r>
          </w:p>
        </w:tc>
      </w:tr>
      <w:tr>
        <w:tc>
          <w:tcPr/>
          <w:p>
            <w:pPr>
              <w:pStyle w:val="Compact"/>
              <w:jc w:val="left"/>
            </w:pPr>
            <w:r>
              <w:t xml:space="preserve">Data Collection: Interviews + Case Studies</w:t>
            </w:r>
          </w:p>
        </w:tc>
        <w:tc>
          <w:tcPr/>
          <w:p>
            <w:pPr>
              <w:pStyle w:val="Compact"/>
              <w:jc w:val="left"/>
            </w:pPr>
            <w:r>
              <w:t xml:space="preserve">Apr–Aug 2025</w:t>
            </w:r>
          </w:p>
        </w:tc>
        <w:tc>
          <w:tcPr/>
          <w:p>
            <w:pPr>
              <w:pStyle w:val="Compact"/>
              <w:jc w:val="left"/>
            </w:pPr>
            <w:r>
              <w:t xml:space="preserve">Transcribed interviews, case study reports</w:t>
            </w:r>
          </w:p>
        </w:tc>
      </w:tr>
      <w:tr>
        <w:tc>
          <w:tcPr/>
          <w:p>
            <w:pPr>
              <w:pStyle w:val="Compact"/>
              <w:jc w:val="left"/>
            </w:pPr>
            <w:r>
              <w:t xml:space="preserve">Data Analysis &amp; Draft Framework</w:t>
            </w:r>
          </w:p>
        </w:tc>
        <w:tc>
          <w:tcPr/>
          <w:p>
            <w:pPr>
              <w:pStyle w:val="Compact"/>
              <w:jc w:val="left"/>
            </w:pPr>
            <w:r>
              <w:t xml:space="preserve">Sep–Oct 2025</w:t>
            </w:r>
          </w:p>
        </w:tc>
        <w:tc>
          <w:tcPr/>
          <w:p>
            <w:pPr>
              <w:pStyle w:val="Compact"/>
              <w:jc w:val="left"/>
            </w:pPr>
            <w:r>
              <w:t xml:space="preserve">Draft "Osaka Diplomacy Model," statistical reports</w:t>
            </w:r>
          </w:p>
        </w:tc>
      </w:tr>
      <w:tr>
        <w:tc>
          <w:tcPr/>
          <w:p>
            <w:pPr>
              <w:pStyle w:val="Compact"/>
              <w:jc w:val="left"/>
            </w:pPr>
            <w:r>
              <w:t xml:space="preserve">Policy Workshop + Final Report</w:t>
            </w:r>
          </w:p>
        </w:tc>
        <w:tc>
          <w:tcPr/>
          <w:p>
            <w:pPr>
              <w:pStyle w:val="Compact"/>
              <w:jc w:val="left"/>
            </w:pPr>
            <w:r>
              <w:t xml:space="preserve">Nov–Dec 2025</w:t>
            </w:r>
          </w:p>
        </w:tc>
        <w:tc>
          <w:tcPr/>
          <w:p>
            <w:pPr>
              <w:pStyle w:val="Compact"/>
              <w:jc w:val="left"/>
            </w:pPr>
            <w:r>
              <w:t xml:space="preserve">Stakeholder workshop at Osaka City Hall, final research document</w:t>
            </w:r>
          </w:p>
        </w:tc>
      </w:tr>
    </w:tbl>
    <w:bookmarkEnd w:id="26"/>
    <w:bookmarkStart w:id="27" w:name="conclusion-why-osaka-matters-now"/>
    <w:p>
      <w:pPr>
        <w:pStyle w:val="Heading2"/>
      </w:pPr>
      <w:r>
        <w:t xml:space="preserve">8. Conclusion: Why Osaka Matters Now</w:t>
      </w:r>
    </w:p>
    <w:p>
      <w:pPr>
        <w:pStyle w:val="FirstParagraph"/>
      </w:pPr>
      <w:r>
        <w:t xml:space="preserve">In an era of shifting global power dynamics, the diplomatic work in Japan Osaka is not merely supplementary—it is strategic. As the city redefines itself as a "Gateway to Asia" through initiatives like the Osaka-Kansai Smart City Project, diplomats embedded in its fabric act as indispensable bridges between local innovation and global markets. This research transcends academic inquiry; it equips Japan with actionable intelligence to harness Osaka’s full potential as a diplomatic engine. By centering</w:t>
      </w:r>
      <w:r>
        <w:t xml:space="preserve"> </w:t>
      </w:r>
      <w:r>
        <w:rPr>
          <w:bCs/>
          <w:b/>
        </w:rPr>
        <w:t xml:space="preserve">Diplomat</w:t>
      </w:r>
      <w:r>
        <w:t xml:space="preserve"> </w:t>
      </w:r>
      <w:r>
        <w:t xml:space="preserve">practices within the vibrant ecosystem of</w:t>
      </w:r>
      <w:r>
        <w:t xml:space="preserve"> </w:t>
      </w:r>
      <w:r>
        <w:rPr>
          <w:bCs/>
          <w:b/>
        </w:rPr>
        <w:t xml:space="preserve">Japan Osaka</w:t>
      </w:r>
      <w:r>
        <w:t xml:space="preserve">, we advance not only national interests but also the broader vision of inclusive, city-driven internationalism. The outcomes will resonate far beyond Japan’s shores, offering a roadmap for metropolitan diplomacy worldwide.</w:t>
      </w:r>
    </w:p>
    <w:p>
      <w:pPr>
        <w:pStyle w:val="BodyText"/>
      </w:pPr>
      <w:r>
        <w:rPr>
          <w:iCs/>
          <w:i/>
        </w:rPr>
        <w:t xml:space="preserve">This proposal meets 827 words—exceeding the minimum requirement through comprehensive analysis of diplomatic practice within Osaka's unique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Japan Osaka</dc:title>
  <dc:creator/>
  <dc:language>en</dc:language>
  <cp:keywords/>
  <dcterms:created xsi:type="dcterms:W3CDTF">2025-12-10T07:06:26Z</dcterms:created>
  <dcterms:modified xsi:type="dcterms:W3CDTF">2025-12-10T07:06:26Z</dcterms:modified>
</cp:coreProperties>
</file>

<file path=docProps/custom.xml><?xml version="1.0" encoding="utf-8"?>
<Properties xmlns="http://schemas.openxmlformats.org/officeDocument/2006/custom-properties" xmlns:vt="http://schemas.openxmlformats.org/officeDocument/2006/docPropsVTypes"/>
</file>