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cca3086bd5aa08097eb5ddd028cf2f4ab15689a"/>
    <w:p>
      <w:pPr>
        <w:pStyle w:val="Heading1"/>
      </w:pPr>
      <w:r>
        <w:t xml:space="preserve">Research Proposal: The Evolving Role of Diplomats in Malaysia Kuala Lumpur's Geopolitical Landscape</w:t>
      </w:r>
    </w:p>
    <w:bookmarkStart w:id="20" w:name="introduction-and-background"/>
    <w:p>
      <w:pPr>
        <w:pStyle w:val="Heading2"/>
      </w:pPr>
      <w:r>
        <w:t xml:space="preserve">1. Introduction and Background</w:t>
      </w:r>
    </w:p>
    <w:p>
      <w:pPr>
        <w:pStyle w:val="FirstParagraph"/>
      </w:pPr>
      <w:r>
        <w:t xml:space="preserve">In an era defined by complex global interdependence, diplomatic engagement serves as the cornerstone of international relations. As a strategic hub in Southeast Asia, Malaysia Kuala Lumpur has emerged as a critical nexus for multilateral dialogue, trade diplomacy, and regional security coordination. With over 100 foreign missions operating from the capital city—encompassing embassies and consulates—the role of the</w:t>
      </w:r>
      <w:r>
        <w:t xml:space="preserve"> </w:t>
      </w:r>
      <w:r>
        <w:rPr>
          <w:bCs/>
          <w:b/>
        </w:rPr>
        <w:t xml:space="preserve">Diplomat</w:t>
      </w:r>
      <w:r>
        <w:t xml:space="preserve"> </w:t>
      </w:r>
      <w:r>
        <w:t xml:space="preserve">transcends traditional statecraft to encompass economic mediation, cultural bridging, and crisis management. This Research Proposal outlines a comprehensive investigation into contemporary diplomatic practices within Malaysia Kuala Lumpur, addressing gaps in understanding how modern diplomats navigate the city's unique socio-political environment while advancing national interests.</w:t>
      </w:r>
    </w:p>
    <w:bookmarkEnd w:id="20"/>
    <w:bookmarkStart w:id="21" w:name="problem-statement"/>
    <w:p>
      <w:pPr>
        <w:pStyle w:val="Heading2"/>
      </w:pPr>
      <w:r>
        <w:t xml:space="preserve">2. Problem Statement</w:t>
      </w:r>
    </w:p>
    <w:p>
      <w:pPr>
        <w:pStyle w:val="FirstParagraph"/>
      </w:pPr>
      <w:r>
        <w:t xml:space="preserve">Despite Kuala Lumpur's significance as ASEAN's diplomatic heartland, there is a critical absence of empirical research on the operational realities of diplomats stationed here. Current literature primarily focuses on high-level state visits or historical case studies, neglecting the day-to-day challenges faced by mid-career and junior diplomats in Malaysia. The rapid evolution of Malaysia’s foreign policy—marked by its active role in the Indo-Pacific Strategy, ASEAN centrality initiatives, and post-pandemic economic diplomacy—has intensified pressures on diplomatic corps. This research addresses three urgent gaps: (a) how cultural intelligence impacts diplomatic effectiveness; (b) the influence of digital diplomacy on traditional engagement methods; and (c) systemic barriers to efficient bilateral relations within Kuala Lumpur's diplomatic ecosystem. Without understanding these dynamics, Malaysia risks underutilizing its strategic advantage as a neutral diplomatic platform.</w:t>
      </w:r>
    </w:p>
    <w:bookmarkEnd w:id="21"/>
    <w:bookmarkStart w:id="22" w:name="research-objectives"/>
    <w:p>
      <w:pPr>
        <w:pStyle w:val="Heading2"/>
      </w:pPr>
      <w:r>
        <w:t xml:space="preserve">3. Research Objectives</w:t>
      </w:r>
    </w:p>
    <w:p>
      <w:pPr>
        <w:numPr>
          <w:ilvl w:val="0"/>
          <w:numId w:val="1001"/>
        </w:numPr>
        <w:pStyle w:val="Compact"/>
      </w:pPr>
      <w:r>
        <w:t xml:space="preserve">To analyze the shifting responsibilities of diplomats accredited to Malaysia Kuala Lumpur in the post-2019 geopolitical climate.</w:t>
      </w:r>
    </w:p>
    <w:p>
      <w:pPr>
        <w:numPr>
          <w:ilvl w:val="0"/>
          <w:numId w:val="1001"/>
        </w:numPr>
        <w:pStyle w:val="Compact"/>
      </w:pPr>
      <w:r>
        <w:t xml:space="preserve">To identify institutional and cultural obstacles hindering effective diplomacy within Malaysia's foreign ministry framework.</w:t>
      </w:r>
    </w:p>
    <w:p>
      <w:pPr>
        <w:numPr>
          <w:ilvl w:val="0"/>
          <w:numId w:val="1001"/>
        </w:numPr>
        <w:pStyle w:val="Compact"/>
      </w:pPr>
      <w:r>
        <w:t xml:space="preserve">To evaluate how digital communication tools have transformed diplomatic protocols and relationship-building in Kuala Lumpur.</w:t>
      </w:r>
    </w:p>
    <w:p>
      <w:pPr>
        <w:numPr>
          <w:ilvl w:val="0"/>
          <w:numId w:val="1001"/>
        </w:numPr>
        <w:pStyle w:val="Compact"/>
      </w:pPr>
      <w:r>
        <w:t xml:space="preserve">To develop actionable frameworks for enhancing diplomatic efficiency through Malaysian government-private sector collaboration.</w:t>
      </w:r>
    </w:p>
    <w:bookmarkEnd w:id="22"/>
    <w:bookmarkStart w:id="23" w:name="literature-review-synthesis"/>
    <w:p>
      <w:pPr>
        <w:pStyle w:val="Heading2"/>
      </w:pPr>
      <w:r>
        <w:t xml:space="preserve">4. Literature Review (Synthesis)</w:t>
      </w:r>
    </w:p>
    <w:p>
      <w:pPr>
        <w:pStyle w:val="FirstParagraph"/>
      </w:pPr>
      <w:r>
        <w:t xml:space="preserve">Existing scholarship on diplomacy in Southeast Asia (e.g., Bunnell, 2018; Suhadi, 2021) emphasizes Malaysia's "soft power" through ASEAN leadership but overlooks ground-level diplomatic operations. Recent studies on urban diplomacy (Gordon &amp; Meehan, 2023) highlight Kuala Lumpur’s unique position as a "neutral hub," yet fail to address the human element—how individual</w:t>
      </w:r>
      <w:r>
        <w:t xml:space="preserve"> </w:t>
      </w:r>
      <w:r>
        <w:rPr>
          <w:bCs/>
          <w:b/>
        </w:rPr>
        <w:t xml:space="preserve">Diplomat</w:t>
      </w:r>
      <w:r>
        <w:t xml:space="preserve">s navigate Malaysia's complex federal structure, religious sensitivities, and multilingual environment. This project directly bridges that gap by centering the diplomat’s lived experience in Malaysia Kuala Lumpur. Crucially, it contextualizes findings within Malaysia’s 2021 Foreign Policy Guidelines which prioritize "dialogue over confrontation," demanding empirical validation of this principle in practice.</w:t>
      </w:r>
    </w:p>
    <w:bookmarkEnd w:id="23"/>
    <w:bookmarkStart w:id="24" w:name="methodology"/>
    <w:p>
      <w:pPr>
        <w:pStyle w:val="Heading2"/>
      </w:pPr>
      <w:r>
        <w:t xml:space="preserve">5. Methodology</w:t>
      </w:r>
    </w:p>
    <w:p>
      <w:pPr>
        <w:pStyle w:val="FirstParagraph"/>
      </w:pPr>
      <w:r>
        <w:t xml:space="preserve">This mixed-methods study employs a 14-month fieldwork protocol in Malaysia Kuala Lumpur, combining:</w:t>
      </w:r>
    </w:p>
    <w:p>
      <w:pPr>
        <w:numPr>
          <w:ilvl w:val="0"/>
          <w:numId w:val="1002"/>
        </w:numPr>
        <w:pStyle w:val="Compact"/>
      </w:pPr>
      <w:r>
        <w:rPr>
          <w:bCs/>
          <w:b/>
        </w:rPr>
        <w:t xml:space="preserve">Qualitative Phase:</w:t>
      </w:r>
      <w:r>
        <w:t xml:space="preserve"> </w:t>
      </w:r>
      <w:r>
        <w:t xml:space="preserve">Semi-structured interviews with 35 diplomats from ASEAN, EU, and key strategic partners (China, USA, Japan), selected to represent diverse diplomatic corps. In-depth sessions will explore daily operational challenges using grounded theory.</w:t>
      </w:r>
    </w:p>
    <w:p>
      <w:pPr>
        <w:numPr>
          <w:ilvl w:val="0"/>
          <w:numId w:val="1002"/>
        </w:numPr>
        <w:pStyle w:val="Compact"/>
      </w:pPr>
      <w:r>
        <w:rPr>
          <w:bCs/>
          <w:b/>
        </w:rPr>
        <w:t xml:space="preserve">Quantitative Phase:</w:t>
      </w:r>
      <w:r>
        <w:t xml:space="preserve"> </w:t>
      </w:r>
      <w:r>
        <w:t xml:space="preserve">Survey of 120+ diplomats across all mission levels on metrics like "time spent on bilateral vs. multilateral engagement" and "perceived effectiveness of Malaysian government coordination."</w:t>
      </w:r>
    </w:p>
    <w:p>
      <w:pPr>
        <w:numPr>
          <w:ilvl w:val="0"/>
          <w:numId w:val="1002"/>
        </w:numPr>
        <w:pStyle w:val="Compact"/>
      </w:pPr>
      <w:r>
        <w:rPr>
          <w:bCs/>
          <w:b/>
        </w:rPr>
        <w:t xml:space="preserve">Case Study Analysis:</w:t>
      </w:r>
      <w:r>
        <w:t xml:space="preserve"> </w:t>
      </w:r>
      <w:r>
        <w:t xml:space="preserve">Document review of Malaysia’s Ministry of Foreign Affairs (Kementerian Luar Negeri) records from 2020–2023, focusing on bilateral agreements initiated in Kuala Lumpur.</w:t>
      </w:r>
    </w:p>
    <w:p>
      <w:pPr>
        <w:numPr>
          <w:ilvl w:val="0"/>
          <w:numId w:val="1002"/>
        </w:numPr>
        <w:pStyle w:val="Compact"/>
      </w:pPr>
      <w:r>
        <w:rPr>
          <w:bCs/>
          <w:b/>
        </w:rPr>
        <w:t xml:space="preserve">Stakeholder Workshops:</w:t>
      </w:r>
      <w:r>
        <w:t xml:space="preserve"> </w:t>
      </w:r>
      <w:r>
        <w:t xml:space="preserve">Collaborative sessions with Malaysian diplomatic officials and business leaders to co-design implementation pathways.</w:t>
      </w:r>
    </w:p>
    <w:p>
      <w:pPr>
        <w:pStyle w:val="FirstParagraph"/>
      </w:pPr>
      <w:r>
        <w:t xml:space="preserve">Data collection occurs within Malaysia Kuala Lumpur’s diplomatic precinct (Dataran Merdeka area) using IRB-approved protocols. All participants will be compensated per Malaysian Ministry of Higher Education standards, ensuring ethical rigor while building trust with the</w:t>
      </w:r>
      <w:r>
        <w:t xml:space="preserve"> </w:t>
      </w:r>
      <w:r>
        <w:rPr>
          <w:bCs/>
          <w:b/>
        </w:rPr>
        <w:t xml:space="preserve">Diplomat</w:t>
      </w:r>
      <w:r>
        <w:t xml:space="preserve"> </w:t>
      </w:r>
      <w:r>
        <w:t xml:space="preserve">community.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outputs:</w:t>
      </w:r>
    </w:p>
    <w:p>
      <w:pPr>
        <w:numPr>
          <w:ilvl w:val="0"/>
          <w:numId w:val="1003"/>
        </w:numPr>
        <w:pStyle w:val="Compact"/>
      </w:pPr>
      <w:r>
        <w:rPr>
          <w:iCs/>
          <w:i/>
        </w:rPr>
        <w:t xml:space="preserve">A Diplomatic Efficiency Index:</w:t>
      </w:r>
      <w:r>
        <w:t xml:space="preserve"> </w:t>
      </w:r>
      <w:r>
        <w:t xml:space="preserve">A quantifiable framework measuring diplomatic success in Malaysia Kuala Lumpur, incorporating cultural adaptability, response time to crises, and economic impact metrics.</w:t>
      </w:r>
    </w:p>
    <w:p>
      <w:pPr>
        <w:numPr>
          <w:ilvl w:val="0"/>
          <w:numId w:val="1003"/>
        </w:numPr>
        <w:pStyle w:val="Compact"/>
      </w:pPr>
      <w:r>
        <w:rPr>
          <w:iCs/>
          <w:i/>
        </w:rPr>
        <w:t xml:space="preserve">Policy Briefs for Malaysian Stakeholders:</w:t>
      </w:r>
      <w:r>
        <w:t xml:space="preserve"> </w:t>
      </w:r>
      <w:r>
        <w:t xml:space="preserve">Tailored recommendations for the Ministry of Foreign Affairs on streamlining visa processes, enhancing digital diplomacy infrastructure, and leveraging Kuala Lumpur’s neutral status for regional peace initiatives.</w:t>
      </w:r>
    </w:p>
    <w:p>
      <w:pPr>
        <w:numPr>
          <w:ilvl w:val="0"/>
          <w:numId w:val="1003"/>
        </w:numPr>
        <w:pStyle w:val="Compact"/>
      </w:pPr>
      <w:r>
        <w:rPr>
          <w:iCs/>
          <w:i/>
        </w:rPr>
        <w:t xml:space="preserve">A Training Toolkit:</w:t>
      </w:r>
      <w:r>
        <w:t xml:space="preserve"> </w:t>
      </w:r>
      <w:r>
        <w:t xml:space="preserve">Culturally attuned protocols for new diplomats entering Malaysia Kuala Lumpur, developed with input from Malaysian cultural institutions (e.g., Dewan Bahasa dan Pustaka).</w:t>
      </w:r>
    </w:p>
    <w:p>
      <w:pPr>
        <w:pStyle w:val="FirstParagraph"/>
      </w:pPr>
      <w:r>
        <w:t xml:space="preserve">The significance extends beyond academia: By positioning Malaysia Kuala Lumpur as a case study of adaptive diplomacy, this research directly supports Malaysia’s strategic goal to become the "ASEAN Diplomatic Capital." Findings will equip diplomats to better navigate challenges like balancing Chinese and Western geopolitical interests or managing cross-border environmental disputes—issues where Kuala Lumpur serves as the primary negotiation venue.</w:t>
      </w:r>
    </w:p>
    <w:bookmarkEnd w:id="25"/>
    <w:bookmarkStart w:id="26" w:name="timeline-and-resource-allocation"/>
    <w:p>
      <w:pPr>
        <w:pStyle w:val="Heading2"/>
      </w:pPr>
      <w:r>
        <w:t xml:space="preserve">7. Timeline and Resource Allocation</w:t>
      </w:r>
    </w:p>
    <w:p>
      <w:pPr>
        <w:pStyle w:val="FirstParagraph"/>
      </w:pPr>
      <w:r>
        <w:t xml:space="preserve">The project spans 18 months across Malaysia Kuala Lumpur: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 in Malaysia Kuala Lumpur</w:t>
            </w:r>
          </w:p>
        </w:tc>
      </w:tr>
      <w:tr>
        <w:tc>
          <w:tcPr/>
          <w:p>
            <w:pPr>
              <w:pStyle w:val="Compact"/>
              <w:jc w:val="left"/>
            </w:pPr>
            <w:r>
              <w:t xml:space="preserve">Pre-Fieldwork (Literature &amp; Ethics)</w:t>
            </w:r>
          </w:p>
        </w:tc>
        <w:tc>
          <w:tcPr/>
          <w:p>
            <w:pPr>
              <w:pStyle w:val="Compact"/>
              <w:jc w:val="left"/>
            </w:pPr>
            <w:r>
              <w:t xml:space="preserve">1–2</w:t>
            </w:r>
          </w:p>
        </w:tc>
        <w:tc>
          <w:tcPr/>
          <w:p>
            <w:pPr>
              <w:pStyle w:val="Compact"/>
              <w:jc w:val="left"/>
            </w:pPr>
            <w:r>
              <w:t xml:space="preserve">Certification with Malaysian National Bioethics Committee; Partner MOU signing with Universiti Malaya.</w:t>
            </w:r>
          </w:p>
        </w:tc>
      </w:tr>
      <w:tr>
        <w:tc>
          <w:tcPr/>
          <w:p>
            <w:pPr>
              <w:pStyle w:val="Compact"/>
              <w:jc w:val="left"/>
            </w:pPr>
            <w:r>
              <w:t xml:space="preserve">Data Collection</w:t>
            </w:r>
          </w:p>
        </w:tc>
        <w:tc>
          <w:tcPr/>
          <w:p>
            <w:pPr>
              <w:pStyle w:val="Compact"/>
              <w:jc w:val="left"/>
            </w:pPr>
            <w:r>
              <w:t xml:space="preserve">3–8</w:t>
            </w:r>
          </w:p>
        </w:tc>
        <w:tc>
          <w:tcPr/>
          <w:p>
            <w:pPr>
              <w:pStyle w:val="Compact"/>
              <w:jc w:val="left"/>
            </w:pPr>
            <w:r>
              <w:t xml:space="preserve">Interviews, surveys, and diplomatic event observation at Kuala Lumpur International Airport (KLIA) Diplomatic Corps events.</w:t>
            </w:r>
          </w:p>
        </w:tc>
      </w:tr>
      <w:tr>
        <w:tc>
          <w:tcPr/>
          <w:p>
            <w:pPr>
              <w:pStyle w:val="Compact"/>
              <w:jc w:val="left"/>
            </w:pPr>
            <w:r>
              <w:t xml:space="preserve">Analysis &amp; Validation</w:t>
            </w:r>
          </w:p>
        </w:tc>
        <w:tc>
          <w:tcPr/>
          <w:p>
            <w:pPr>
              <w:pStyle w:val="Compact"/>
              <w:jc w:val="left"/>
            </w:pPr>
            <w:r>
              <w:t xml:space="preserve">9–14</w:t>
            </w:r>
          </w:p>
        </w:tc>
        <w:tc>
          <w:tcPr/>
          <w:p>
            <w:pPr>
              <w:pStyle w:val="Compact"/>
              <w:jc w:val="left"/>
            </w:pPr>
            <w:r>
              <w:t xml:space="preserve">Workshops with Malaysian MOFA officials; Triangulation of qualitative/quantitative data.</w:t>
            </w:r>
          </w:p>
        </w:tc>
      </w:tr>
      <w:tr>
        <w:tc>
          <w:tcPr/>
          <w:p>
            <w:pPr>
              <w:pStyle w:val="Compact"/>
              <w:jc w:val="left"/>
            </w:pPr>
            <w:r>
              <w:t xml:space="preserve">Dissemination</w:t>
            </w:r>
          </w:p>
        </w:tc>
        <w:tc>
          <w:tcPr/>
          <w:p>
            <w:pPr>
              <w:pStyle w:val="Compact"/>
              <w:jc w:val="left"/>
            </w:pPr>
            <w:r>
              <w:t xml:space="preserve">15–18</w:t>
            </w:r>
          </w:p>
        </w:tc>
        <w:tc>
          <w:tcPr/>
          <w:p>
            <w:pPr>
              <w:pStyle w:val="Compact"/>
              <w:jc w:val="left"/>
            </w:pPr>
            <w:r>
              <w:t xml:space="preserve">Policy briefing at Putrajaya; Journal publication; Diplomat training pilot in Kuala Lumpur.</w:t>
            </w:r>
          </w:p>
        </w:tc>
      </w:tr>
    </w:tbl>
    <w:bookmarkEnd w:id="26"/>
    <w:bookmarkStart w:id="27" w:name="Xbc1a1dccb5376fb29af99ee45bc5c50ba64def6"/>
    <w:p>
      <w:pPr>
        <w:pStyle w:val="Heading2"/>
      </w:pPr>
      <w:r>
        <w:t xml:space="preserve">8. Conclusion: The Imperative for Context-Specific Diplomacy</w:t>
      </w:r>
    </w:p>
    <w:p>
      <w:pPr>
        <w:pStyle w:val="FirstParagraph"/>
      </w:pPr>
      <w:r>
        <w:t xml:space="preserve">In Malaysia Kuala Lumpur, diplomacy is not merely an occupation—it is a dynamic practice requiring nuanced understanding of the city’s identity as a melting pot of Malay, Chinese, Indian, and indigenous cultures within a Muslim-majority nation. This Research Proposal elevates the study of the</w:t>
      </w:r>
      <w:r>
        <w:t xml:space="preserve"> </w:t>
      </w:r>
      <w:r>
        <w:rPr>
          <w:bCs/>
          <w:b/>
        </w:rPr>
        <w:t xml:space="preserve">Diplomat</w:t>
      </w:r>
      <w:r>
        <w:t xml:space="preserve"> </w:t>
      </w:r>
      <w:r>
        <w:t xml:space="preserve">from abstract theory to actionable insight by grounding it in Malaysia Kuala Lumpur’s lived reality. As regional tensions escalate globally—from South China Sea disputes to digital trade wars—the effectiveness of diplomats operating from Kuala Lumpur directly impacts ASEAN’s stability and Malaysia’s economic prosperity. By investing in this research, stakeholders will gain a strategic asset: evidence-based strategies to transform Malaysia Kuala Lumpur into the world’s most resilient diplomatic hub—a vision aligned with both national ambition and global need.</w:t>
      </w:r>
    </w:p>
    <w:bookmarkEnd w:id="27"/>
    <w:bookmarkStart w:id="28" w:name="references-selected"/>
    <w:p>
      <w:pPr>
        <w:pStyle w:val="Heading2"/>
      </w:pPr>
      <w:r>
        <w:t xml:space="preserve">9. References (Selected)</w:t>
      </w:r>
    </w:p>
    <w:p>
      <w:pPr>
        <w:numPr>
          <w:ilvl w:val="0"/>
          <w:numId w:val="1004"/>
        </w:numPr>
        <w:pStyle w:val="Compact"/>
      </w:pPr>
      <w:r>
        <w:t xml:space="preserve">Bunnell, T. (2018). *Diplomacy in Southeast Asia*. Routledge.</w:t>
      </w:r>
    </w:p>
    <w:p>
      <w:pPr>
        <w:numPr>
          <w:ilvl w:val="0"/>
          <w:numId w:val="1004"/>
        </w:numPr>
        <w:pStyle w:val="Compact"/>
      </w:pPr>
      <w:r>
        <w:t xml:space="preserve">Gordon, A., &amp; Meehan, P. (2023). Urban Diplomacy and Global Governance. *Journal of International Affairs*, 76(1), 45–67.</w:t>
      </w:r>
    </w:p>
    <w:p>
      <w:pPr>
        <w:numPr>
          <w:ilvl w:val="0"/>
          <w:numId w:val="1004"/>
        </w:numPr>
        <w:pStyle w:val="Compact"/>
      </w:pPr>
      <w:r>
        <w:t xml:space="preserve">Ministry of Foreign Affairs Malaysia. (2021). *Malaysia’s Foreign Policy Guidelines*.</w:t>
      </w:r>
    </w:p>
    <w:p>
      <w:pPr>
        <w:numPr>
          <w:ilvl w:val="0"/>
          <w:numId w:val="1004"/>
        </w:numPr>
        <w:pStyle w:val="Compact"/>
      </w:pPr>
      <w:r>
        <w:t xml:space="preserve">Suhadi, A. (2021). The ASEAN Way: Soft Power in Practice. *Asian Journal of Political Science*, 29(3), 318–335.</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Malaysia Kuala Lumpur</dc:title>
  <dc:creator/>
  <dc:language>en</dc:language>
  <cp:keywords/>
  <dcterms:created xsi:type="dcterms:W3CDTF">2026-07-23T15:43:43Z</dcterms:created>
  <dcterms:modified xsi:type="dcterms:W3CDTF">2026-07-23T15:43:43Z</dcterms:modified>
</cp:coreProperties>
</file>

<file path=docProps/custom.xml><?xml version="1.0" encoding="utf-8"?>
<Properties xmlns="http://schemas.openxmlformats.org/officeDocument/2006/custom-properties" xmlns:vt="http://schemas.openxmlformats.org/officeDocument/2006/docPropsVTypes"/>
</file>