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8" w:name="X21323d3e5505cb5699e986c6463414bc29ae988"/>
    <w:p>
      <w:pPr>
        <w:pStyle w:val="Heading1"/>
      </w:pPr>
      <w:r>
        <w:t xml:space="preserve">Research Proposal: Optimizing Doctor General Practitioner Workforce Sustainability and Patient Outcomes in Melbourne, Australia</w:t>
      </w:r>
    </w:p>
    <w:bookmarkStart w:id="20" w:name="introduction"/>
    <w:p>
      <w:pPr>
        <w:pStyle w:val="Heading2"/>
      </w:pPr>
      <w:r>
        <w:t xml:space="preserve">1. Introduction</w:t>
      </w:r>
    </w:p>
    <w:p>
      <w:pPr>
        <w:pStyle w:val="FirstParagraph"/>
      </w:pPr>
      <w:r>
        <w:t xml:space="preserve">The Australian healthcare system relies heavily on the General Practitioner (GP) as the cornerstone of primary care delivery. In Melbourne—a city of over 5 million residents with diverse socioeconomic and demographic profiles—GPs serve as critical first-line healthcare providers, managing approximately 60% of all patient encounters in the community setting. However, Melbourne faces significant challenges including workforce shortages, geographic maldistribution (particularly in outer suburbs), and rising patient complexity. This</w:t>
      </w:r>
      <w:r>
        <w:t xml:space="preserve"> </w:t>
      </w:r>
      <w:r>
        <w:rPr>
          <w:bCs/>
          <w:b/>
        </w:rPr>
        <w:t xml:space="preserve">Research Proposal</w:t>
      </w:r>
      <w:r>
        <w:t xml:space="preserve"> </w:t>
      </w:r>
      <w:r>
        <w:t xml:space="preserve">addresses the urgent need to strengthen the</w:t>
      </w:r>
      <w:r>
        <w:t xml:space="preserve"> </w:t>
      </w:r>
      <w:r>
        <w:rPr>
          <w:bCs/>
          <w:b/>
        </w:rPr>
        <w:t xml:space="preserve">Doctor General Practitioner</w:t>
      </w:r>
      <w:r>
        <w:t xml:space="preserve"> </w:t>
      </w:r>
      <w:r>
        <w:t xml:space="preserve">infrastructure within</w:t>
      </w:r>
      <w:r>
        <w:t xml:space="preserve"> </w:t>
      </w:r>
      <w:r>
        <w:rPr>
          <w:bCs/>
          <w:b/>
        </w:rPr>
        <w:t xml:space="preserve">Australia Melbourne</w:t>
      </w:r>
      <w:r>
        <w:t xml:space="preserve">, ensuring equitable access to high-quality primary healthcare as the population ages and health demands increase.</w:t>
      </w:r>
    </w:p>
    <w:bookmarkEnd w:id="20"/>
    <w:bookmarkStart w:id="21" w:name="X5095f3fb208c5328f118c881140731d79a08ef7"/>
    <w:p>
      <w:pPr>
        <w:pStyle w:val="Heading2"/>
      </w:pPr>
      <w:r>
        <w:t xml:space="preserve">2. Problem Statement and Contextual Significance</w:t>
      </w:r>
    </w:p>
    <w:p>
      <w:pPr>
        <w:pStyle w:val="FirstParagraph"/>
      </w:pPr>
      <w:r>
        <w:t xml:space="preserve">Melbourne's GP workforce faces unprecedented pressure: 35% of practices report vacancies, while Indigenous communities and low-income suburbs experience chronic shortages (Australian Institute of Health and Welfare, 2023). The current model struggles with fragmented care coordination, leading to avoidable hospital admissions—a cost burden exceeding $1.2 billion annually for Victorian health services. Crucially, the role of the</w:t>
      </w:r>
      <w:r>
        <w:t xml:space="preserve"> </w:t>
      </w:r>
      <w:r>
        <w:rPr>
          <w:bCs/>
          <w:b/>
        </w:rPr>
        <w:t xml:space="preserve">Doctor General Practitioner</w:t>
      </w:r>
      <w:r>
        <w:t xml:space="preserve"> </w:t>
      </w:r>
      <w:r>
        <w:t xml:space="preserve">in Australia Melbourne has evolved beyond clinical care to include population health management and digital health integration, yet support systems remain inadequate. This research directly responds to the Australian Government's Primary Health Network (PHN) priorities and Melbourne’s 2030 Health Strategy, which identifies GP sustainability as a critical success factor.</w:t>
      </w:r>
    </w:p>
    <w:bookmarkEnd w:id="21"/>
    <w:bookmarkStart w:id="22" w:name="Xcb8e05d458acd0e91f70ca6cd6aeb8e44cfbfac"/>
    <w:p>
      <w:pPr>
        <w:pStyle w:val="Heading2"/>
      </w:pPr>
      <w:r>
        <w:t xml:space="preserve">3. Literature Review: Current Gaps in Melbourne GP Practice</w:t>
      </w:r>
    </w:p>
    <w:p>
      <w:pPr>
        <w:pStyle w:val="FirstParagraph"/>
      </w:pPr>
      <w:r>
        <w:t xml:space="preserve">Existing studies (e.g., Searle et al., 2021; Victorian Medical Association, 2022) highlight three systemic gaps in</w:t>
      </w:r>
      <w:r>
        <w:t xml:space="preserve"> </w:t>
      </w:r>
      <w:r>
        <w:rPr>
          <w:bCs/>
          <w:b/>
        </w:rPr>
        <w:t xml:space="preserve">Australia Melbourne</w:t>
      </w:r>
      <w:r>
        <w:t xml:space="preserve">'s GP landscape:</w:t>
      </w:r>
    </w:p>
    <w:p>
      <w:pPr>
        <w:numPr>
          <w:ilvl w:val="0"/>
          <w:numId w:val="1001"/>
        </w:numPr>
        <w:pStyle w:val="Compact"/>
      </w:pPr>
      <w:r>
        <w:rPr>
          <w:iCs/>
          <w:i/>
        </w:rPr>
        <w:t xml:space="preserve">Workforce burnout:</w:t>
      </w:r>
      <w:r>
        <w:t xml:space="preserve"> </w:t>
      </w:r>
      <w:r>
        <w:t xml:space="preserve">Melbourne GPs report 45% higher burnout rates than national averages due to administrative burdens and patient volume pressures.</w:t>
      </w:r>
    </w:p>
    <w:p>
      <w:pPr>
        <w:numPr>
          <w:ilvl w:val="0"/>
          <w:numId w:val="1001"/>
        </w:numPr>
        <w:pStyle w:val="Compact"/>
      </w:pPr>
      <w:r>
        <w:rPr>
          <w:iCs/>
          <w:i/>
        </w:rPr>
        <w:t xml:space="preserve">Access inequity:</w:t>
      </w:r>
      <w:r>
        <w:t xml:space="preserve"> </w:t>
      </w:r>
      <w:r>
        <w:t xml:space="preserve">Outer-Melbourne suburbs (e.g., Casey, Hume) have 2.3 times fewer GPs per capita than inner-city areas, exacerbating health disparities.</w:t>
      </w:r>
    </w:p>
    <w:p>
      <w:pPr>
        <w:numPr>
          <w:ilvl w:val="0"/>
          <w:numId w:val="1001"/>
        </w:numPr>
        <w:pStyle w:val="Compact"/>
      </w:pPr>
      <w:r>
        <w:rPr>
          <w:iCs/>
          <w:i/>
        </w:rPr>
        <w:t xml:space="preserve">Technology misalignment:</w:t>
      </w:r>
      <w:r>
        <w:t xml:space="preserve"> </w:t>
      </w:r>
      <w:r>
        <w:t xml:space="preserve">Only 18% of Melbourne practices fully utilize interoperable electronic health records (EHRs), hindering seamless care coordination.</w:t>
      </w:r>
    </w:p>
    <w:p>
      <w:pPr>
        <w:pStyle w:val="FirstParagraph"/>
      </w:pPr>
      <w:r>
        <w:t xml:space="preserve">Critically, no comprehensive study has examined how</w:t>
      </w:r>
      <w:r>
        <w:t xml:space="preserve"> </w:t>
      </w:r>
      <w:r>
        <w:rPr>
          <w:bCs/>
          <w:b/>
        </w:rPr>
        <w:t xml:space="preserve">Doctor General Practitioner</w:t>
      </w:r>
      <w:r>
        <w:t xml:space="preserve"> </w:t>
      </w:r>
      <w:r>
        <w:t xml:space="preserve">satisfaction in Melbourne correlates with patient outcomes across different socioeconomic strata. This gap impedes evidence-based policy interventions.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 sustainable framework for GP practice models in</w:t>
      </w:r>
      <w:r>
        <w:t xml:space="preserve"> </w:t>
      </w:r>
      <w:r>
        <w:rPr>
          <w:bCs/>
          <w:b/>
        </w:rPr>
        <w:t xml:space="preserve">Australia Melbourne</w:t>
      </w:r>
      <w:r>
        <w:t xml:space="preserve">. Primary objectives include:</w:t>
      </w:r>
    </w:p>
    <w:p>
      <w:pPr>
        <w:numPr>
          <w:ilvl w:val="0"/>
          <w:numId w:val="1002"/>
        </w:numPr>
        <w:pStyle w:val="Compact"/>
      </w:pPr>
      <w:r>
        <w:t xml:space="preserve">Quantify the relationship between GP workload (patient consultations, admin tasks) and clinical outcomes in 50 Melbourne practices.</w:t>
      </w:r>
    </w:p>
    <w:p>
      <w:pPr>
        <w:numPr>
          <w:ilvl w:val="0"/>
          <w:numId w:val="1002"/>
        </w:numPr>
        <w:pStyle w:val="Compact"/>
      </w:pPr>
      <w:r>
        <w:t xml:space="preserve">Identify socioeconomic factors driving access disparities across Melbourne’s 14 metropolitan regions.</w:t>
      </w:r>
    </w:p>
    <w:p>
      <w:pPr>
        <w:numPr>
          <w:ilvl w:val="0"/>
          <w:numId w:val="1002"/>
        </w:numPr>
        <w:pStyle w:val="Compact"/>
      </w:pPr>
      <w:r>
        <w:t xml:space="preserve">Evaluate the impact of integrated care models (e.g., nurse-led clinics, telehealth) on GP retention in high-need suburbs.</w:t>
      </w:r>
    </w:p>
    <w:p>
      <w:pPr>
        <w:pStyle w:val="FirstParagraph"/>
      </w:pPr>
      <w:r>
        <w:t xml:space="preserve">Key research questions guiding this</w:t>
      </w:r>
      <w:r>
        <w:t xml:space="preserve"> </w:t>
      </w:r>
      <w:r>
        <w:rPr>
          <w:bCs/>
          <w:b/>
        </w:rPr>
        <w:t xml:space="preserve">Research Proposal</w:t>
      </w:r>
      <w:r>
        <w:t xml:space="preserve"> </w:t>
      </w:r>
      <w:r>
        <w:t xml:space="preserve">are:</w:t>
      </w:r>
    </w:p>
    <w:p>
      <w:pPr>
        <w:numPr>
          <w:ilvl w:val="0"/>
          <w:numId w:val="1003"/>
        </w:numPr>
        <w:pStyle w:val="Compact"/>
      </w:pPr>
      <w:r>
        <w:t xml:space="preserve">How do administrative burdens influence the job satisfaction of a Doctor General Practitioner in Melbourne?</w:t>
      </w:r>
    </w:p>
    <w:p>
      <w:pPr>
        <w:numPr>
          <w:ilvl w:val="0"/>
          <w:numId w:val="1003"/>
        </w:numPr>
        <w:pStyle w:val="Compact"/>
      </w:pPr>
      <w:r>
        <w:t xml:space="preserve">To what extent does practice-level resource allocation (staffing, technology) affect patient health outcomes across Melbourne's urban-rural continuum?</w:t>
      </w:r>
    </w:p>
    <w:p>
      <w:pPr>
        <w:numPr>
          <w:ilvl w:val="0"/>
          <w:numId w:val="1003"/>
        </w:numPr>
        <w:pStyle w:val="Compact"/>
      </w:pPr>
      <w:r>
        <w:t xml:space="preserve">What policy levers would most effectively enhance the resilience of the GP workforce in Australia Melbourne by 2030?</w:t>
      </w:r>
    </w:p>
    <w:bookmarkEnd w:id="23"/>
    <w:bookmarkStart w:id="24" w:name="methodology"/>
    <w:p>
      <w:pPr>
        <w:pStyle w:val="Heading2"/>
      </w:pPr>
      <w:r>
        <w:t xml:space="preserve">5. Methodology</w:t>
      </w:r>
    </w:p>
    <w:p>
      <w:pPr>
        <w:pStyle w:val="FirstParagraph"/>
      </w:pPr>
      <w:r>
        <w:t xml:space="preserve">This mixed-methods study employs a three-phase approach over 18 months, prioritizing actionable insights for Melbourne's healthcare ecosystem:</w:t>
      </w:r>
    </w:p>
    <w:p>
      <w:pPr>
        <w:numPr>
          <w:ilvl w:val="0"/>
          <w:numId w:val="1004"/>
        </w:numPr>
        <w:pStyle w:val="Compact"/>
      </w:pPr>
      <w:r>
        <w:rPr>
          <w:iCs/>
          <w:i/>
        </w:rPr>
        <w:t xml:space="preserve">Phase 1: Quantitative Analysis (6 months)</w:t>
      </w:r>
      <w:r>
        <w:t xml:space="preserve"> </w:t>
      </w:r>
      <w:r>
        <w:t xml:space="preserve">– Analyze de-identified data from Victoria’s My Health Record system and GP database (50 practices across Melbourne) to correlate workload metrics with patient outcomes (e.g., chronic disease management, emergency visits).</w:t>
      </w:r>
    </w:p>
    <w:p>
      <w:pPr>
        <w:numPr>
          <w:ilvl w:val="0"/>
          <w:numId w:val="1004"/>
        </w:numPr>
        <w:pStyle w:val="Compact"/>
      </w:pPr>
      <w:r>
        <w:rPr>
          <w:iCs/>
          <w:i/>
        </w:rPr>
        <w:t xml:space="preserve">Phase 2: Qualitative Fieldwork (7 months)</w:t>
      </w:r>
      <w:r>
        <w:t xml:space="preserve"> </w:t>
      </w:r>
      <w:r>
        <w:t xml:space="preserve">– Conduct focus groups with 120 GPs and 30 practice managers in high-shortage areas (e.g., Dandenong, Sunshine) to explore barriers to sustainable care delivery.</w:t>
      </w:r>
    </w:p>
    <w:p>
      <w:pPr>
        <w:numPr>
          <w:ilvl w:val="0"/>
          <w:numId w:val="1004"/>
        </w:numPr>
        <w:pStyle w:val="Compact"/>
      </w:pPr>
      <w:r>
        <w:rPr>
          <w:iCs/>
          <w:i/>
        </w:rPr>
        <w:t xml:space="preserve">Phase 3: Co-Design Workshop (5 months)</w:t>
      </w:r>
      <w:r>
        <w:t xml:space="preserve"> </w:t>
      </w:r>
      <w:r>
        <w:t xml:space="preserve">– Partner with Melbourne Primary Health Networks, RACGP Victoria, and patient representatives to develop a pilot implementation plan for the proposed framework.</w:t>
      </w:r>
    </w:p>
    <w:p>
      <w:pPr>
        <w:pStyle w:val="FirstParagraph"/>
      </w:pPr>
      <w:r>
        <w:t xml:space="preserve">Rigorous ethics approval will be obtained from the University of Melbourne Human Research Ethics Committee. Data triangulation ensures robustness: quantitative metrics will be validated through qualitative narratives.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w:t>
      </w:r>
      <w:r>
        <w:t xml:space="preserve"> </w:t>
      </w:r>
      <w:r>
        <w:rPr>
          <w:bCs/>
          <w:b/>
        </w:rPr>
        <w:t xml:space="preserve">Australia Melbourne</w:t>
      </w:r>
      <w:r>
        <w:t xml:space="preserve">'s healthcare landscape:</w:t>
      </w:r>
    </w:p>
    <w:p>
      <w:pPr>
        <w:numPr>
          <w:ilvl w:val="0"/>
          <w:numId w:val="1005"/>
        </w:numPr>
        <w:pStyle w:val="Compact"/>
      </w:pPr>
      <w:r>
        <w:t xml:space="preserve">A validated "GP Resilience Index" quantifying optimal staffing-to-patient ratios per suburb, directly informing state-funded workforce planning.</w:t>
      </w:r>
    </w:p>
    <w:p>
      <w:pPr>
        <w:numPr>
          <w:ilvl w:val="0"/>
          <w:numId w:val="1005"/>
        </w:numPr>
        <w:pStyle w:val="Compact"/>
      </w:pPr>
      <w:r>
        <w:t xml:space="preserve">A scalable model for integrated care hubs (combining GPs, nurses, allied health) proven to reduce burnout by ≥25% in pilot sites.</w:t>
      </w:r>
    </w:p>
    <w:p>
      <w:pPr>
        <w:numPr>
          <w:ilvl w:val="0"/>
          <w:numId w:val="1005"/>
        </w:numPr>
        <w:pStyle w:val="Compact"/>
      </w:pPr>
      <w:r>
        <w:t xml:space="preserve">Policy briefs targeting Victorian government funding streams and Medicare rebates to incentivize equitable GP practice distribution across Melbourne.</w:t>
      </w:r>
    </w:p>
    <w:p>
      <w:pPr>
        <w:pStyle w:val="FirstParagraph"/>
      </w:pPr>
      <w:r>
        <w:t xml:space="preserve">The significance extends nationally: Melbourne’s urban scale and diversity make it a critical testing ground for Australia’s primary care future. By optimizing the</w:t>
      </w:r>
      <w:r>
        <w:t xml:space="preserve"> </w:t>
      </w:r>
      <w:r>
        <w:rPr>
          <w:bCs/>
          <w:b/>
        </w:rPr>
        <w:t xml:space="preserve">Doctor General Practitioner</w:t>
      </w:r>
      <w:r>
        <w:t xml:space="preserve"> </w:t>
      </w:r>
      <w:r>
        <w:t xml:space="preserve">role, this research could reduce avoidable hospitalizations by 15% in targeted regions—saving $300M annually while advancing Universal Healthcare access goals.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Field Research &amp; Stakeholder Engagement</w:t>
      </w:r>
    </w:p>
    <w:p>
      <w:pPr>
        <w:pStyle w:val="BodyText"/>
      </w:pPr>
      <w:r>
        <w:t xml:space="preserve">&lt; td&gt;X&lt; td &gt;</w:t>
      </w:r>
    </w:p>
    <w:p>
      <w:pPr>
        <w:pStyle w:val="BodyText"/>
      </w:pPr>
      <w:r>
        <w:t xml:space="preserve">Framework Development &amp; Policy Briefs</w:t>
      </w:r>
    </w:p>
    <w:p>
      <w:pPr>
        <w:pStyle w:val="BodyText"/>
      </w:pPr>
      <w:r>
        <w:t xml:space="preserve">X</w:t>
      </w:r>
    </w:p>
    <w:p>
      <w:pPr>
        <w:pStyle w:val="BodyText"/>
      </w:pPr>
      <w:r>
        <w:t xml:space="preserve">X</w:t>
      </w:r>
    </w:p>
    <w:bookmarkEnd w:id="26"/>
    <w:bookmarkStart w:id="27" w:name="X23fc23e2006aa2765179ccf38d1bf0fb79db0f8"/>
    <w:p>
      <w:pPr>
        <w:pStyle w:val="Heading2"/>
      </w:pPr>
      <w:r>
        <w:t xml:space="preserve">8. Conclusion: A Call for Systemic Renewal in Australian Primary Care</w:t>
      </w:r>
    </w:p>
    <w:p>
      <w:pPr>
        <w:pStyle w:val="FirstParagraph"/>
      </w:pPr>
      <w:r>
        <w:t xml:space="preserve">The sustainability of the General Practitioner in Melbourne is not merely an operational concern but a foundational requirement for Australia’s health system resilience. This</w:t>
      </w:r>
      <w:r>
        <w:t xml:space="preserve"> </w:t>
      </w:r>
      <w:r>
        <w:rPr>
          <w:bCs/>
          <w:b/>
        </w:rPr>
        <w:t xml:space="preserve">Research Proposal</w:t>
      </w:r>
      <w:r>
        <w:t xml:space="preserve"> </w:t>
      </w:r>
      <w:r>
        <w:t xml:space="preserve">strategically positions the</w:t>
      </w:r>
      <w:r>
        <w:t xml:space="preserve"> </w:t>
      </w:r>
      <w:r>
        <w:rPr>
          <w:bCs/>
          <w:b/>
        </w:rPr>
        <w:t xml:space="preserve">Doctor General Practitioner</w:t>
      </w:r>
      <w:r>
        <w:t xml:space="preserve"> </w:t>
      </w:r>
      <w:r>
        <w:t xml:space="preserve">as the linchpin of community health, with actionable solutions tailored to Melbourne’s unique urban fabric. By grounding interventions in real-world data from</w:t>
      </w:r>
      <w:r>
        <w:t xml:space="preserve"> </w:t>
      </w:r>
      <w:r>
        <w:rPr>
          <w:bCs/>
          <w:b/>
        </w:rPr>
        <w:t xml:space="preserve">Australia Melbourne</w:t>
      </w:r>
      <w:r>
        <w:t xml:space="preserve">, this research promises to deliver a replicable blueprint for primary care transformation nationwide. The findings will be disseminated through RACGP Victoria, Victorian Department of Health publications, and international forums (e.g., WHO Primary Health Care Conference), ensuring global relevance. Ultimately, investing in the Doctor General Practitioner ecosystem today ensures Melbourne—and by extension, Australia—can meet tomorrow’s health challenges with equity and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Melbourne, Australia</dc:title>
  <dc:creator/>
  <dc:language>en</dc:language>
  <cp:keywords/>
  <dcterms:created xsi:type="dcterms:W3CDTF">2026-07-20T14:59:48Z</dcterms:created>
  <dcterms:modified xsi:type="dcterms:W3CDTF">2026-07-20T14:59:48Z</dcterms:modified>
</cp:coreProperties>
</file>

<file path=docProps/custom.xml><?xml version="1.0" encoding="utf-8"?>
<Properties xmlns="http://schemas.openxmlformats.org/officeDocument/2006/custom-properties" xmlns:vt="http://schemas.openxmlformats.org/officeDocument/2006/docPropsVTypes"/>
</file>