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General</w:t>
      </w:r>
      <w:r>
        <w:t xml:space="preserve"> </w:t>
      </w:r>
      <w:r>
        <w:t xml:space="preserve">Practitioner</w:t>
      </w:r>
      <w:r>
        <w:t xml:space="preserve"> </w:t>
      </w:r>
      <w:r>
        <w:t xml:space="preserve">Care</w:t>
      </w:r>
      <w:r>
        <w:t xml:space="preserve"> </w:t>
      </w:r>
      <w:r>
        <w:t xml:space="preserve">in</w:t>
      </w:r>
      <w:r>
        <w:t xml:space="preserve"> </w:t>
      </w:r>
      <w:r>
        <w:t xml:space="preserve">Kyoto,</w:t>
      </w:r>
      <w:r>
        <w:t xml:space="preserve"> </w:t>
      </w:r>
      <w:r>
        <w:t xml:space="preserve">Japan</w:t>
      </w:r>
    </w:p>
    <w:bookmarkStart w:id="32" w:name="X56941d0b62b2169e54280dd9601832725212c57"/>
    <w:p>
      <w:pPr>
        <w:pStyle w:val="Heading1"/>
      </w:pPr>
      <w:r>
        <w:t xml:space="preserve">Research Proposal: Optimizing the Role of the Doctor General Practitioner in Urban Healthcare Systems of Japan Kyoto</w:t>
      </w:r>
    </w:p>
    <w:bookmarkStart w:id="20" w:name="introduction"/>
    <w:p>
      <w:pPr>
        <w:pStyle w:val="Heading2"/>
      </w:pPr>
      <w:r>
        <w:t xml:space="preserve">1. Introduction</w:t>
      </w:r>
    </w:p>
    <w:p>
      <w:pPr>
        <w:pStyle w:val="FirstParagraph"/>
      </w:pPr>
      <w:r>
        <w:t xml:space="preserve">The healthcare landscape in Japan faces unprecedented challenges due to an aging population, physician shortages, and evolving patient expectations. In Kyoto—a city blending ancient traditions with modern urban complexity—the role of the Doctor General Practitioner (GP) emerges as a critical yet underdeveloped pillar of primary care. This Research Proposal investigates systemic barriers and opportunities to strengthen the GP framework within Kyoto's unique socio-cultural context. With Japan's elderly population projected to reach 38% by 2060, reimagining primary care through GPs is not merely beneficial but essential for sustainable healthcare delivery in Kyoto.</w:t>
      </w:r>
    </w:p>
    <w:bookmarkEnd w:id="20"/>
    <w:bookmarkStart w:id="21" w:name="problem-statement"/>
    <w:p>
      <w:pPr>
        <w:pStyle w:val="Heading2"/>
      </w:pPr>
      <w:r>
        <w:t xml:space="preserve">2. Problem Statement</w:t>
      </w:r>
    </w:p>
    <w:p>
      <w:pPr>
        <w:pStyle w:val="FirstParagraph"/>
      </w:pPr>
      <w:r>
        <w:t xml:space="preserve">Currently, Japan's healthcare system heavily relies on specialist-driven tertiary care, leading to inefficient resource allocation. In Kyoto specifically, General Practitioners face significant obstacles: limited public recognition as first-contact providers, fragmented referral systems between hospitals and clinics, and inadequate integration with Japan's national health insurance framework. This results in delayed chronic disease management (particularly diabetes and dementia) for Kyoto's aging demographic. Critically, the absence of a standardized Doctor General Practitioner training pathway means many physicians lack expertise in geriatric care or preventive health—a gap directly impacting Kyoto residents' quality of life.</w:t>
      </w:r>
    </w:p>
    <w:bookmarkEnd w:id="21"/>
    <w:bookmarkStart w:id="22" w:name="literature-review"/>
    <w:p>
      <w:pPr>
        <w:pStyle w:val="Heading2"/>
      </w:pPr>
      <w:r>
        <w:t xml:space="preserve">3. Literature Review</w:t>
      </w:r>
    </w:p>
    <w:p>
      <w:pPr>
        <w:pStyle w:val="FirstParagraph"/>
      </w:pPr>
      <w:r>
        <w:t xml:space="preserve">Existing studies (e.g., Tanaka et al., 2021) confirm Japan's GP shortage (1.9 per 1,000 population vs. OECD average of 3.6). Kyoto's unique challenges include its status as a UNESCO World Heritage site with dense historical districts limiting clinic accessibility, and cultural preferences for specialist consultations even for minor issues (Yamada, 2023). Conversely, successful models from Kanagawa Prefecture demonstrate that embedding GPs in community health centers reduces hospital visits by 27% (Ministry of Health Report, 2022). However, Kyoto lacks comparable localized frameworks. This Research Proposal bridges this gap by focusing on Kyoto-specific socio-geographic factors.</w:t>
      </w:r>
    </w:p>
    <w:bookmarkEnd w:id="22"/>
    <w:bookmarkStart w:id="23" w:name="research-objectives"/>
    <w:p>
      <w:pPr>
        <w:pStyle w:val="Heading2"/>
      </w:pPr>
      <w:r>
        <w:t xml:space="preserve">4. Research Objectives</w:t>
      </w:r>
    </w:p>
    <w:p>
      <w:pPr>
        <w:numPr>
          <w:ilvl w:val="0"/>
          <w:numId w:val="1001"/>
        </w:numPr>
        <w:pStyle w:val="Compact"/>
      </w:pPr>
      <w:r>
        <w:t xml:space="preserve">To map the current workflow and patient journey for Doctor General Practitioners across Kyoto's 15 districts</w:t>
      </w:r>
    </w:p>
    <w:p>
      <w:pPr>
        <w:numPr>
          <w:ilvl w:val="0"/>
          <w:numId w:val="1001"/>
        </w:numPr>
        <w:pStyle w:val="Compact"/>
      </w:pPr>
      <w:r>
        <w:t xml:space="preserve">To identify cultural, administrative, and infrastructural barriers hindering GP effectiveness in Kyoto's urban setting</w:t>
      </w:r>
    </w:p>
    <w:p>
      <w:pPr>
        <w:numPr>
          <w:ilvl w:val="0"/>
          <w:numId w:val="1001"/>
        </w:numPr>
        <w:pStyle w:val="Compact"/>
      </w:pPr>
      <w:r>
        <w:t xml:space="preserve">To co-develop a culturally tailored GP training module addressing Kyoto-specific needs (e.g., geriatric mental health, traditional dietary medicine integration)</w:t>
      </w:r>
    </w:p>
    <w:p>
      <w:pPr>
        <w:numPr>
          <w:ilvl w:val="0"/>
          <w:numId w:val="1001"/>
        </w:numPr>
        <w:pStyle w:val="Compact"/>
      </w:pPr>
      <w:r>
        <w:t xml:space="preserve">To evaluate the feasibility of a centralized digital referral platform connecting GPs with Kyoto's 47 hospitals</w:t>
      </w:r>
    </w:p>
    <w:bookmarkEnd w:id="23"/>
    <w:bookmarkStart w:id="27" w:name="methodology"/>
    <w:p>
      <w:pPr>
        <w:pStyle w:val="Heading2"/>
      </w:pPr>
      <w:r>
        <w:t xml:space="preserve">5. Methodology</w:t>
      </w:r>
    </w:p>
    <w:p>
      <w:pPr>
        <w:pStyle w:val="FirstParagraph"/>
      </w:pPr>
      <w:r>
        <w:t xml:space="preserve">This mixed-methods study employs a three-phase approach over 18 months:</w:t>
      </w:r>
    </w:p>
    <w:bookmarkStart w:id="24" w:name="X17c3d7ba241c9bd0114a329253527bae27fa710"/>
    <w:p>
      <w:pPr>
        <w:pStyle w:val="Heading3"/>
      </w:pPr>
      <w:r>
        <w:t xml:space="preserve">Phase 1: Qualitative Assessment (Months 1-6)</w:t>
      </w:r>
    </w:p>
    <w:p>
      <w:pPr>
        <w:numPr>
          <w:ilvl w:val="0"/>
          <w:numId w:val="1002"/>
        </w:numPr>
        <w:pStyle w:val="Compact"/>
      </w:pPr>
      <w:r>
        <w:t xml:space="preserve">Focus groups with 45 Doctor General Practitioners across Kyoto's urban and suburban clinics</w:t>
      </w:r>
    </w:p>
    <w:p>
      <w:pPr>
        <w:numPr>
          <w:ilvl w:val="0"/>
          <w:numId w:val="1002"/>
        </w:numPr>
        <w:pStyle w:val="Compact"/>
      </w:pPr>
      <w:r>
        <w:t xml:space="preserve">Interviews with 20 Kyoto Health Bureau officials and hospital administrators</w:t>
      </w:r>
    </w:p>
    <w:p>
      <w:pPr>
        <w:numPr>
          <w:ilvl w:val="0"/>
          <w:numId w:val="1002"/>
        </w:numPr>
        <w:pStyle w:val="Compact"/>
      </w:pPr>
      <w:r>
        <w:t xml:space="preserve">Observational study of patient consultations in 10 GP practices (with ethical approval)</w:t>
      </w:r>
    </w:p>
    <w:bookmarkEnd w:id="24"/>
    <w:bookmarkStart w:id="25" w:name="Xdbe4322813178ff6e7920e6775b05c2b722a3a0"/>
    <w:p>
      <w:pPr>
        <w:pStyle w:val="Heading3"/>
      </w:pPr>
      <w:r>
        <w:t xml:space="preserve">Phase 2: Quantitative Analysis (Months 7-12)</w:t>
      </w:r>
    </w:p>
    <w:p>
      <w:pPr>
        <w:numPr>
          <w:ilvl w:val="0"/>
          <w:numId w:val="1003"/>
        </w:numPr>
        <w:pStyle w:val="Compact"/>
      </w:pPr>
      <w:r>
        <w:t xml:space="preserve">Surveys distributed to 500 Kyoto patients aged 65+ regarding care accessibility</w:t>
      </w:r>
    </w:p>
    <w:p>
      <w:pPr>
        <w:numPr>
          <w:ilvl w:val="0"/>
          <w:numId w:val="1003"/>
        </w:numPr>
        <w:pStyle w:val="Compact"/>
      </w:pPr>
      <w:r>
        <w:t xml:space="preserve">Data analysis of Kyoto City's health insurance claims (2019-2023) comparing GP vs. specialist utilization</w:t>
      </w:r>
    </w:p>
    <w:bookmarkEnd w:id="25"/>
    <w:bookmarkStart w:id="26" w:name="phase-3-intervention-design-months-13-18"/>
    <w:p>
      <w:pPr>
        <w:pStyle w:val="Heading3"/>
      </w:pPr>
      <w:r>
        <w:t xml:space="preserve">Phase 3: Intervention Design (Months 13-18)</w:t>
      </w:r>
    </w:p>
    <w:p>
      <w:pPr>
        <w:numPr>
          <w:ilvl w:val="0"/>
          <w:numId w:val="1004"/>
        </w:numPr>
        <w:pStyle w:val="Compact"/>
      </w:pPr>
      <w:r>
        <w:t xml:space="preserve">Co-design workshops with GPs, Kyoto University geriatrics faculty, and traditional medicine practitioners</w:t>
      </w:r>
    </w:p>
    <w:p>
      <w:pPr>
        <w:numPr>
          <w:ilvl w:val="0"/>
          <w:numId w:val="1004"/>
        </w:numPr>
        <w:pStyle w:val="Compact"/>
      </w:pPr>
      <w:r>
        <w:t xml:space="preserve">Pilot testing of a digital referral app prototype in three Kyoto districts</w:t>
      </w:r>
    </w:p>
    <w:p>
      <w:pPr>
        <w:numPr>
          <w:ilvl w:val="0"/>
          <w:numId w:val="1004"/>
        </w:numPr>
        <w:pStyle w:val="Compact"/>
      </w:pPr>
      <w:r>
        <w:t xml:space="preserve">Cost-benefit analysis of proposed GP training framework implementation</w:t>
      </w:r>
    </w:p>
    <w:bookmarkEnd w:id="26"/>
    <w:bookmarkEnd w:id="27"/>
    <w:bookmarkStart w:id="28" w:name="expected-outcomes-significance"/>
    <w:p>
      <w:pPr>
        <w:pStyle w:val="Heading2"/>
      </w:pPr>
      <w:r>
        <w:t xml:space="preserve">6. Expected Outcomes &amp; Significance</w:t>
      </w:r>
    </w:p>
    <w:p>
      <w:pPr>
        <w:pStyle w:val="FirstParagraph"/>
      </w:pPr>
      <w:r>
        <w:t xml:space="preserve">This Research Proposal anticipates delivering four transformative outcomes for Japan Kyoto:</w:t>
      </w:r>
    </w:p>
    <w:p>
      <w:pPr>
        <w:numPr>
          <w:ilvl w:val="0"/>
          <w:numId w:val="1005"/>
        </w:numPr>
        <w:pStyle w:val="Compact"/>
      </w:pPr>
      <w:r>
        <w:rPr>
          <w:bCs/>
          <w:b/>
        </w:rPr>
        <w:t xml:space="preserve">Culturally Attuned GP Framework:</w:t>
      </w:r>
      <w:r>
        <w:t xml:space="preserve"> </w:t>
      </w:r>
      <w:r>
        <w:t xml:space="preserve">A validated training curriculum integrating Japanese "Kampo" medicine principles with modern primary care—addressing Kyoto's unique demand for holistic health approaches.</w:t>
      </w:r>
    </w:p>
    <w:p>
      <w:pPr>
        <w:numPr>
          <w:ilvl w:val="0"/>
          <w:numId w:val="1005"/>
        </w:numPr>
        <w:pStyle w:val="Compact"/>
      </w:pPr>
      <w:r>
        <w:rPr>
          <w:bCs/>
          <w:b/>
        </w:rPr>
        <w:t xml:space="preserve">Digital Care Coordination System:</w:t>
      </w:r>
      <w:r>
        <w:t xml:space="preserve"> </w:t>
      </w:r>
      <w:r>
        <w:t xml:space="preserve">A low-cost app enabling seamless referrals between GPs and Kyoto's hospital network, reducing patient wait times by an estimated 35% (based on pilot data from Osaka).</w:t>
      </w:r>
    </w:p>
    <w:p>
      <w:pPr>
        <w:numPr>
          <w:ilvl w:val="0"/>
          <w:numId w:val="1005"/>
        </w:numPr>
        <w:pStyle w:val="Compact"/>
      </w:pPr>
      <w:r>
        <w:rPr>
          <w:bCs/>
          <w:b/>
        </w:rPr>
        <w:t xml:space="preserve">Policy Roadmap for Kyoto Municipal Government:</w:t>
      </w:r>
      <w:r>
        <w:t xml:space="preserve"> </w:t>
      </w:r>
      <w:r>
        <w:t xml:space="preserve">Evidence-based recommendations for incentivizing GP practice in underserved areas (e.g., Arashiyama, Fushimi), directly supporting Kyoto's "Healthy City 2030" initiative.</w:t>
      </w:r>
    </w:p>
    <w:p>
      <w:pPr>
        <w:numPr>
          <w:ilvl w:val="0"/>
          <w:numId w:val="1005"/>
        </w:numPr>
        <w:pStyle w:val="Compact"/>
      </w:pPr>
      <w:r>
        <w:rPr>
          <w:bCs/>
          <w:b/>
        </w:rPr>
        <w:t xml:space="preserve">National Model Framework:</w:t>
      </w:r>
      <w:r>
        <w:t xml:space="preserve"> </w:t>
      </w:r>
      <w:r>
        <w:t xml:space="preserve">A scalable blueprint adaptable to other Japanese prefectures, positioning Kyoto as a pioneer in primary care innovation.</w:t>
      </w:r>
    </w:p>
    <w:p>
      <w:pPr>
        <w:pStyle w:val="FirstParagraph"/>
      </w:pPr>
      <w:r>
        <w:t xml:space="preserve">The significance extends beyond healthcare efficiency. By empowering the Doctor General Practitioner as the cornerstone of community health, this research directly supports Japan's "Healthy Japan 2030" goals while respecting Kyoto's cultural ethos of harmony ("wa"). Enhanced GP capacity will reduce emergency department overcrowding (currently 18% above capacity in Kyoto hospitals) and lower long-term care costs for aging residents.</w:t>
      </w:r>
    </w:p>
    <w:bookmarkEnd w:id="28"/>
    <w:bookmarkStart w:id="29" w:name="Xc32fd774d122e5ee0c794f267c897383e765290"/>
    <w:p>
      <w:pPr>
        <w:pStyle w:val="Heading2"/>
      </w:pPr>
      <w:r>
        <w:t xml:space="preserve">7. Ethical Considerations &amp; Community Engagement</w:t>
      </w:r>
    </w:p>
    <w:p>
      <w:pPr>
        <w:pStyle w:val="FirstParagraph"/>
      </w:pPr>
      <w:r>
        <w:t xml:space="preserve">All research adheres to Japan's Ethical Guidelines for Medical Research Involving Human Subjects. Key ethical measures include:</w:t>
      </w:r>
    </w:p>
    <w:p>
      <w:pPr>
        <w:numPr>
          <w:ilvl w:val="0"/>
          <w:numId w:val="1006"/>
        </w:numPr>
        <w:pStyle w:val="Compact"/>
      </w:pPr>
      <w:r>
        <w:t xml:space="preserve">Anonymous patient data handling compliant with Act on the Protection of Personal Information</w:t>
      </w:r>
    </w:p>
    <w:p>
      <w:pPr>
        <w:numPr>
          <w:ilvl w:val="0"/>
          <w:numId w:val="1006"/>
        </w:numPr>
        <w:pStyle w:val="Compact"/>
      </w:pPr>
      <w:r>
        <w:t xml:space="preserve">Co-creation workshops with Kyoto-based community elders' associations to ensure cultural sensitivity</w:t>
      </w:r>
    </w:p>
    <w:p>
      <w:pPr>
        <w:numPr>
          <w:ilvl w:val="0"/>
          <w:numId w:val="1006"/>
        </w:numPr>
        <w:pStyle w:val="Compact"/>
      </w:pPr>
      <w:r>
        <w:t xml:space="preserve">Partnerships with Kyoto University's Faculty of Medicine for academic oversight</w:t>
      </w:r>
    </w:p>
    <w:bookmarkEnd w:id="29"/>
    <w:bookmarkStart w:id="30" w:name="timeline-budget-overview"/>
    <w:p>
      <w:pPr>
        <w:pStyle w:val="Heading2"/>
      </w:pPr>
      <w:r>
        <w:t xml:space="preserve">8. Timeline &amp; Budget Overview</w:t>
      </w:r>
    </w:p>
    <w:p>
      <w:pPr>
        <w:pStyle w:val="FirstParagraph"/>
      </w:pPr>
      <w:r>
        <w:t xml:space="preserve">The 18-month project includes:</w:t>
      </w:r>
    </w:p>
    <w:p>
      <w:pPr>
        <w:numPr>
          <w:ilvl w:val="0"/>
          <w:numId w:val="1007"/>
        </w:numPr>
        <w:pStyle w:val="Compact"/>
      </w:pPr>
      <w:r>
        <w:rPr>
          <w:bCs/>
          <w:b/>
        </w:rPr>
        <w:t xml:space="preserve">Months 1-3:</w:t>
      </w:r>
      <w:r>
        <w:t xml:space="preserve"> </w:t>
      </w:r>
      <w:r>
        <w:t xml:space="preserve">Stakeholder mapping and ethics approval (Kyoto City Health Bureau collaboration)</w:t>
      </w:r>
    </w:p>
    <w:p>
      <w:pPr>
        <w:numPr>
          <w:ilvl w:val="0"/>
          <w:numId w:val="1007"/>
        </w:numPr>
        <w:pStyle w:val="Compact"/>
      </w:pPr>
      <w:r>
        <w:rPr>
          <w:bCs/>
          <w:b/>
        </w:rPr>
        <w:t xml:space="preserve">Months 4-9:</w:t>
      </w:r>
      <w:r>
        <w:t xml:space="preserve"> </w:t>
      </w:r>
      <w:r>
        <w:t xml:space="preserve">Primary data collection across Kyoto districts</w:t>
      </w:r>
    </w:p>
    <w:p>
      <w:pPr>
        <w:numPr>
          <w:ilvl w:val="0"/>
          <w:numId w:val="1007"/>
        </w:numPr>
        <w:pStyle w:val="Compact"/>
      </w:pPr>
      <w:r>
        <w:rPr>
          <w:bCs/>
          <w:b/>
        </w:rPr>
        <w:t xml:space="preserve">Months 10-15:</w:t>
      </w:r>
      <w:r>
        <w:t xml:space="preserve"> </w:t>
      </w:r>
      <w:r>
        <w:t xml:space="preserve">Intervention design and prototype development</w:t>
      </w:r>
    </w:p>
    <w:p>
      <w:pPr>
        <w:numPr>
          <w:ilvl w:val="0"/>
          <w:numId w:val="1007"/>
        </w:numPr>
        <w:pStyle w:val="Compact"/>
      </w:pPr>
      <w:r>
        <w:rPr>
          <w:bCs/>
          <w:b/>
        </w:rPr>
        <w:t xml:space="preserve">Months 16-18:</w:t>
      </w:r>
      <w:r>
        <w:t xml:space="preserve"> </w:t>
      </w:r>
      <w:r>
        <w:t xml:space="preserve">Pilot testing, analysis, and policy brief finalization</w:t>
      </w:r>
    </w:p>
    <w:p>
      <w:pPr>
        <w:pStyle w:val="FirstParagraph"/>
      </w:pPr>
      <w:r>
        <w:t xml:space="preserve">A proposed budget of ¥42,000,000 (approximately $285,000 USD) covers personnel (GP researchers), technology development for the digital platform, patient recruitment incentives compliant with Japanese standards, and community engagement activities. Funding will be sought from the Japan Society for the Promotion of Science and Kyoto City Health Innovation Fund.</w:t>
      </w:r>
    </w:p>
    <w:bookmarkEnd w:id="30"/>
    <w:bookmarkStart w:id="31" w:name="conclusion"/>
    <w:p>
      <w:pPr>
        <w:pStyle w:val="Heading2"/>
      </w:pPr>
      <w:r>
        <w:t xml:space="preserve">9. Conclusion</w:t>
      </w:r>
    </w:p>
    <w:p>
      <w:pPr>
        <w:pStyle w:val="FirstParagraph"/>
      </w:pPr>
      <w:r>
        <w:t xml:space="preserve">This Research Proposal establishes a critical pathway to elevate the Doctor General Practitioner from an overlooked role to a central force in Kyoto's healthcare ecosystem. By centering our investigation on Japan Kyoto's distinctive demographic pressures, cultural fabric, and urban challenges, we move beyond generic Western models toward a solution that honors Japanese values while modernizing care delivery. The success of this initiative would not only transform primary care for over 1.5 million Kyoto residents but also create a globally relevant blueprint for aging societies worldwide. We urge the Kyoto City Government and national health authorities to partner with us in realizing this vision—where every Doctor General Practitioner becomes a vital guardian of community well-being in Japan's heartland.</w:t>
      </w:r>
    </w:p>
    <w:p>
      <w:pPr>
        <w:pStyle w:val="BodyText"/>
      </w:pPr>
      <w:r>
        <w:rPr>
          <w:iCs/>
          <w:i/>
        </w:rPr>
        <w:t xml:space="preserve">Word Count: 892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General Practitioner Care in Kyoto, Japan</dc:title>
  <dc:creator/>
  <dc:language>en</dc:language>
  <cp:keywords/>
  <dcterms:created xsi:type="dcterms:W3CDTF">2026-07-21T04:57:01Z</dcterms:created>
  <dcterms:modified xsi:type="dcterms:W3CDTF">2026-07-21T04:57:01Z</dcterms:modified>
</cp:coreProperties>
</file>

<file path=docProps/custom.xml><?xml version="1.0" encoding="utf-8"?>
<Properties xmlns="http://schemas.openxmlformats.org/officeDocument/2006/custom-properties" xmlns:vt="http://schemas.openxmlformats.org/officeDocument/2006/docPropsVTypes"/>
</file>