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29" w:name="Xb663ce16c8dbd08ab07c9362c4e79759cd87879"/>
    <w:p>
      <w:pPr>
        <w:pStyle w:val="Heading1"/>
      </w:pPr>
      <w:r>
        <w:t xml:space="preserve">Research Proposal: Advancing the Role of Doctor General Practitioner in Japan Tokyo's Evolving Healthcare Ecosystem</w:t>
      </w:r>
    </w:p>
    <w:bookmarkStart w:id="20" w:name="introduction"/>
    <w:p>
      <w:pPr>
        <w:pStyle w:val="Heading2"/>
      </w:pPr>
      <w:r>
        <w:t xml:space="preserve">1. Introduction</w:t>
      </w:r>
    </w:p>
    <w:p>
      <w:pPr>
        <w:pStyle w:val="FirstParagraph"/>
      </w:pPr>
      <w:r>
        <w:t xml:space="preserve">The healthcare landscape of Japan, particularly within the densely populated metropolis of Tokyo, faces unprecedented challenges due to an aging population, physician shortages, and fragmented care delivery. While Japan has historically relied on a specialist-centric model with limited primary care integration, there is growing recognition that establishing a robust</w:t>
      </w:r>
      <w:r>
        <w:t xml:space="preserve"> </w:t>
      </w:r>
      <w:r>
        <w:rPr>
          <w:bCs/>
          <w:b/>
        </w:rPr>
        <w:t xml:space="preserve">Doctor General Practitioner</w:t>
      </w:r>
      <w:r>
        <w:t xml:space="preserve"> </w:t>
      </w:r>
      <w:r>
        <w:t xml:space="preserve">(GP) system could significantly enhance healthcare efficiency and patient outcomes. This research proposal outlines a comprehensive study to investigate the feasibility, implementation strategies, and societal impact of integrating certified GPs into Tokyo's healthcare infrastructure. With over 14 million residents in Tokyo alone facing rising chronic disease burdens, this study addresses a critical gap in Japan's national health strategy.</w:t>
      </w:r>
    </w:p>
    <w:bookmarkEnd w:id="20"/>
    <w:bookmarkStart w:id="21" w:name="Xeebcf8f9502b30a7755015c32a81863d177295e"/>
    <w:p>
      <w:pPr>
        <w:pStyle w:val="Heading2"/>
      </w:pPr>
      <w:r>
        <w:t xml:space="preserve">2. Context and Rationale: The Imperative for General Practitioners in Japan Tokyo</w:t>
      </w:r>
    </w:p>
    <w:p>
      <w:pPr>
        <w:pStyle w:val="FirstParagraph"/>
      </w:pPr>
      <w:r>
        <w:t xml:space="preserve">Japan’s healthcare system, while globally praised for accessibility and longevity, struggles with systemic inefficiencies. Unlike Western nations with established GP frameworks, Japan lacks a formalized general practice specialty—patients typically navigate direct referrals to specialists without coordinated primary care. This results in overutilization of hospital services (accounting for 60% of outpatient visits), delayed chronic disease management, and physician burnout in Tokyo’s overcrowded clinics. The Ministry of Health, Labour and Welfare has recently signaled policy shifts toward "primary care reform," yet concrete pathways remain unexplored. This</w:t>
      </w:r>
      <w:r>
        <w:t xml:space="preserve"> </w:t>
      </w:r>
      <w:r>
        <w:rPr>
          <w:bCs/>
          <w:b/>
        </w:rPr>
        <w:t xml:space="preserve">Research Proposal</w:t>
      </w:r>
      <w:r>
        <w:t xml:space="preserve"> </w:t>
      </w:r>
      <w:r>
        <w:t xml:space="preserve">directly responds to this national priority by focusing on</w:t>
      </w:r>
      <w:r>
        <w:t xml:space="preserve"> </w:t>
      </w:r>
      <w:r>
        <w:rPr>
          <w:bCs/>
          <w:b/>
        </w:rPr>
        <w:t xml:space="preserve">Japan Tokyo</w:t>
      </w:r>
      <w:r>
        <w:t xml:space="preserve">, where demographic pressures (14% of residents aged 65+) exacerbate the need for preventive, first-contact healthcare.</w:t>
      </w:r>
    </w:p>
    <w:bookmarkEnd w:id="21"/>
    <w:bookmarkStart w:id="22" w:name="X4cd3b9c6cd99d1bf7b7b3783dfeafe1eece8200"/>
    <w:p>
      <w:pPr>
        <w:pStyle w:val="Heading2"/>
      </w:pPr>
      <w:r>
        <w:t xml:space="preserve">3. Literature Review: Global Insights and Japanese Specificity</w:t>
      </w:r>
    </w:p>
    <w:p>
      <w:pPr>
        <w:pStyle w:val="FirstParagraph"/>
      </w:pPr>
      <w:r>
        <w:t xml:space="preserve">International evidence from the UK, Australia, and Canada demonstrates that GP-led primary care reduces hospitalizations by 18–25% and lowers per-capita costs (World Health Organization, 2023). However, Japan’s unique context—characterized by cultural preferences for specialist consultations (67% of patients bypass GPs per JAMA Internal Medicine, 2021) and a physician-to-population ratio of 1:450 (below OECD average)—demands tailored solutions. Prior Japanese studies (e.g., Suzuki et al., 2022) identify low public awareness of GP roles and regulatory barriers as key obstacles. This study will build on these findings while addressing Tokyo-specific variables: its complex urban geography, high-income disparities across districts, and the presence of both public hospitals (e.g., Tokyo Metropolitan Government Hospitals) and private clinics.</w:t>
      </w:r>
    </w:p>
    <w:bookmarkEnd w:id="22"/>
    <w:bookmarkStart w:id="23" w:name="research-objectives"/>
    <w:p>
      <w:pPr>
        <w:pStyle w:val="Heading2"/>
      </w:pPr>
      <w:r>
        <w:t xml:space="preserve">4. Research Objectives</w:t>
      </w:r>
    </w:p>
    <w:p>
      <w:pPr>
        <w:numPr>
          <w:ilvl w:val="0"/>
          <w:numId w:val="1001"/>
        </w:numPr>
        <w:pStyle w:val="Compact"/>
      </w:pPr>
      <w:r>
        <w:t xml:space="preserve">To assess patient and physician perceptions of the Doctor General Practitioner role in Tokyo’s healthcare culture.</w:t>
      </w:r>
    </w:p>
    <w:p>
      <w:pPr>
        <w:numPr>
          <w:ilvl w:val="0"/>
          <w:numId w:val="1001"/>
        </w:numPr>
        <w:pStyle w:val="Compact"/>
      </w:pPr>
      <w:r>
        <w:t xml:space="preserve">To analyze cost-effectiveness, service utilization patterns, and quality metrics of GP-integrated clinics versus traditional models in Tokyo.</w:t>
      </w:r>
    </w:p>
    <w:p>
      <w:pPr>
        <w:numPr>
          <w:ilvl w:val="0"/>
          <w:numId w:val="1001"/>
        </w:numPr>
        <w:pStyle w:val="Compact"/>
      </w:pPr>
      <w:r>
        <w:t xml:space="preserve">To develop a culturally attuned implementation framework for scaling GP services across Tokyo districts.</w:t>
      </w:r>
    </w:p>
    <w:p>
      <w:pPr>
        <w:numPr>
          <w:ilvl w:val="0"/>
          <w:numId w:val="1001"/>
        </w:numPr>
        <w:pStyle w:val="Compact"/>
      </w:pPr>
      <w:r>
        <w:t xml:space="preserve">To evaluate policy levers (e.g., reimbursement structures, medical education reforms) necessary to sustain the Doctor General Practitioner system in Japan.</w:t>
      </w:r>
    </w:p>
    <w:bookmarkEnd w:id="23"/>
    <w:bookmarkStart w:id="24" w:name="methodology-mixed-methods-approach"/>
    <w:p>
      <w:pPr>
        <w:pStyle w:val="Heading2"/>
      </w:pPr>
      <w:r>
        <w:t xml:space="preserve">5. Methodology: Mixed-Methods Approach</w:t>
      </w:r>
    </w:p>
    <w:p>
      <w:pPr>
        <w:pStyle w:val="FirstParagraph"/>
      </w:pPr>
      <w:r>
        <w:t xml:space="preserve">This study employs a 15-month multi-phase methodology designed for Tokyo’s urban complexity:</w:t>
      </w:r>
    </w:p>
    <w:p>
      <w:pPr>
        <w:numPr>
          <w:ilvl w:val="0"/>
          <w:numId w:val="1002"/>
        </w:numPr>
        <w:pStyle w:val="Compact"/>
      </w:pPr>
      <w:r>
        <w:rPr>
          <w:bCs/>
          <w:b/>
        </w:rPr>
        <w:t xml:space="preserve">Phase 1 (Months 1–4):</w:t>
      </w:r>
      <w:r>
        <w:t xml:space="preserve"> </w:t>
      </w:r>
      <w:r>
        <w:t xml:space="preserve">Qualitative interviews with 30 stakeholders—Tokyo-based physicians, health administrators, and community leaders—to map systemic barriers and cultural nuances.</w:t>
      </w:r>
    </w:p>
    <w:p>
      <w:pPr>
        <w:numPr>
          <w:ilvl w:val="0"/>
          <w:numId w:val="1002"/>
        </w:numPr>
        <w:pStyle w:val="Compact"/>
      </w:pPr>
      <w:r>
        <w:rPr>
          <w:bCs/>
          <w:b/>
        </w:rPr>
        <w:t xml:space="preserve">Phase 2 (Months 5–9):</w:t>
      </w:r>
      <w:r>
        <w:t xml:space="preserve"> </w:t>
      </w:r>
      <w:r>
        <w:t xml:space="preserve">Quantitative analysis of anonymized healthcare data from Tokyo’s National Health Insurance database (covering 1.2 million residents) comparing care pathways in GP-inclusive vs. non-GP clinics.</w:t>
      </w:r>
    </w:p>
    <w:p>
      <w:pPr>
        <w:numPr>
          <w:ilvl w:val="0"/>
          <w:numId w:val="1002"/>
        </w:numPr>
        <w:pStyle w:val="Compact"/>
      </w:pPr>
      <w:r>
        <w:rPr>
          <w:bCs/>
          <w:b/>
        </w:rPr>
        <w:t xml:space="preserve">Phase 3 (Months 10–14):</w:t>
      </w:r>
      <w:r>
        <w:t xml:space="preserve"> </w:t>
      </w:r>
      <w:r>
        <w:t xml:space="preserve">Pilot implementation at two diverse Tokyo sites (e.g., Shinjuku urban center and Chiba suburban district), tracking patient outcomes, cost metrics, and provider workload using real-time electronic health records.</w:t>
      </w:r>
    </w:p>
    <w:p>
      <w:pPr>
        <w:numPr>
          <w:ilvl w:val="0"/>
          <w:numId w:val="1002"/>
        </w:numPr>
        <w:pStyle w:val="Compact"/>
      </w:pPr>
      <w:r>
        <w:rPr>
          <w:bCs/>
          <w:b/>
        </w:rPr>
        <w:t xml:space="preserve">Phase 4 (Month 15):</w:t>
      </w:r>
      <w:r>
        <w:t xml:space="preserve"> </w:t>
      </w:r>
      <w:r>
        <w:t xml:space="preserve">Co-design workshops with Tokyo Metropolitan Government to translate findings into policy recommendations.</w:t>
      </w:r>
    </w:p>
    <w:p>
      <w:pPr>
        <w:pStyle w:val="FirstParagraph"/>
      </w:pPr>
      <w:r>
        <w:t xml:space="preserve">All data will undergo ethical review by the University of Tokyo Institutional Review Board, ensuring compliance with Japan’s Act on the Protection of Personal Information.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model for integrating Doctor General Practitioner services into Tokyo’s healthcare fabric, including standardized training curricula for Japanese physicians.</w:t>
      </w:r>
    </w:p>
    <w:p>
      <w:pPr>
        <w:numPr>
          <w:ilvl w:val="0"/>
          <w:numId w:val="1003"/>
        </w:numPr>
        <w:pStyle w:val="Compact"/>
      </w:pPr>
      <w:r>
        <w:t xml:space="preserve">Data demonstrating how GP-led care could reduce Tokyo’s annual $12.3B hospitalization costs (per Ministry of Finance 2023) through preventive management of diabetes and hypertension—conditions affecting 40% of Tokyo seniors.</w:t>
      </w:r>
    </w:p>
    <w:p>
      <w:pPr>
        <w:numPr>
          <w:ilvl w:val="0"/>
          <w:numId w:val="1003"/>
        </w:numPr>
        <w:pStyle w:val="Compact"/>
      </w:pPr>
      <w:r>
        <w:t xml:space="preserve">Culturally nuanced policy briefs for the Japanese government, addressing reimbursement reforms (e.g., incentivizing GP consultations at 75% coverage vs. current specialist-centric rates) and medical education updates to foster GP specialty recognition.</w:t>
      </w:r>
    </w:p>
    <w:p>
      <w:pPr>
        <w:pStyle w:val="FirstParagraph"/>
      </w:pPr>
      <w:r>
        <w:t xml:space="preserve">The significance extends beyond Tokyo: as Japan’s largest city, its success would serve as a national blueprint for rural regions grappling with similar challenges. Crucially, this study positions the Doctor General Practitioner not as an import but as an adaptation—honoring Japan’s cultural context while modernizing care delivery.</w:t>
      </w:r>
    </w:p>
    <w:bookmarkEnd w:id="25"/>
    <w:bookmarkStart w:id="26"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Stakeholder Analysis</w:t>
            </w:r>
          </w:p>
        </w:tc>
        <w:tc>
          <w:tcPr/>
          <w:p>
            <w:pPr>
              <w:pStyle w:val="Compact"/>
              <w:jc w:val="left"/>
            </w:pPr>
            <w:r>
              <w:t xml:space="preserve">4 months</w:t>
            </w:r>
          </w:p>
        </w:tc>
        <w:tc>
          <w:tcPr/>
          <w:p>
            <w:pPr>
              <w:pStyle w:val="Compact"/>
              <w:jc w:val="left"/>
            </w:pPr>
            <w:r>
              <w:t xml:space="preserve">In-depth interviews, cultural mapping</w:t>
            </w:r>
          </w:p>
        </w:tc>
        <w:tc>
          <w:tcPr/>
          <w:p>
            <w:pPr>
              <w:pStyle w:val="Compact"/>
              <w:jc w:val="left"/>
            </w:pPr>
            <w:r>
              <w:t xml:space="preserve">Cultural barriers report; stakeholder engagement plan</w:t>
            </w:r>
          </w:p>
        </w:tc>
      </w:tr>
      <w:tr>
        <w:tc>
          <w:tcPr/>
          <w:p>
            <w:pPr>
              <w:pStyle w:val="Compact"/>
              <w:jc w:val="left"/>
            </w:pPr>
            <w:r>
              <w:t xml:space="preserve">II: Quantitative Assessment</w:t>
            </w:r>
          </w:p>
        </w:tc>
        <w:tc>
          <w:tcPr/>
          <w:p>
            <w:pPr>
              <w:pStyle w:val="Compact"/>
              <w:jc w:val="left"/>
            </w:pPr>
            <w:r>
              <w:t xml:space="preserve">5 months</w:t>
            </w:r>
          </w:p>
          <w:p>
            <w:pPr>
              <w:pStyle w:val="Compact"/>
              <w:jc w:val="left"/>
            </w:pPr>
            <w:r>
              <w:br/>
            </w:r>
            <w:r>
              <w:t xml:space="preserve">1.4 million patient data points analyzed</w:t>
            </w:r>
            <w:r>
              <w:br/>
            </w:r>
            <w:r>
              <w:t xml:space="preserve">Cost/utilization benchmarks developed</w:t>
            </w:r>
            <w:r>
              <w:br/>
            </w:r>
          </w:p>
        </w:tc>
        <w:tc>
          <w:tcPr/>
          <w:p>
            <w:pPr>
              <w:pStyle w:val="Compact"/>
            </w:pPr>
          </w:p>
        </w:tc>
        <w:tc>
          <w:tcPr/>
          <w:p>
            <w:pPr>
              <w:pStyle w:val="Compact"/>
            </w:pPr>
          </w:p>
        </w:tc>
      </w:tr>
      <w:tr>
        <w:tc>
          <w:tcPr/>
          <w:p>
            <w:pPr>
              <w:pStyle w:val="Compact"/>
              <w:jc w:val="left"/>
            </w:pPr>
            <w:r>
              <w:t xml:space="preserve">III: Pilot Implementation</w:t>
            </w:r>
          </w:p>
        </w:tc>
        <w:tc>
          <w:tcPr/>
          <w:p>
            <w:pPr>
              <w:pStyle w:val="Compact"/>
              <w:jc w:val="left"/>
            </w:pPr>
            <w:r>
              <w:t xml:space="preserve">5 months</w:t>
            </w:r>
          </w:p>
        </w:tc>
        <w:tc>
          <w:tcPr/>
          <w:p>
            <w:pPr>
              <w:pStyle w:val="Compact"/>
              <w:jc w:val="left"/>
            </w:pPr>
            <w:r>
              <w:t xml:space="preserve">GP clinic setup, outcome tracking</w:t>
            </w:r>
          </w:p>
        </w:tc>
        <w:tc>
          <w:tcPr/>
          <w:p>
            <w:pPr>
              <w:pStyle w:val="Compact"/>
              <w:jc w:val="left"/>
            </w:pPr>
            <w:r>
              <w:t xml:space="preserve">Pilot efficacy report; scalability assessment</w:t>
            </w:r>
          </w:p>
        </w:tc>
      </w:tr>
      <w:tr>
        <w:tc>
          <w:tcPr/>
          <w:p>
            <w:pPr>
              <w:pStyle w:val="Compact"/>
              <w:jc w:val="left"/>
            </w:pPr>
            <w:r>
              <w:t xml:space="preserve">IV: Policy Integration</w:t>
            </w:r>
          </w:p>
        </w:tc>
        <w:tc>
          <w:tcPr/>
          <w:p>
            <w:pPr>
              <w:pStyle w:val="Compact"/>
              <w:jc w:val="left"/>
            </w:pPr>
            <w:r>
              <w:t xml:space="preserve">1 month</w:t>
            </w:r>
          </w:p>
        </w:tc>
        <w:tc>
          <w:tcPr/>
          <w:p>
            <w:pPr>
              <w:pStyle w:val="Compact"/>
              <w:jc w:val="left"/>
            </w:pPr>
            <w:r>
              <w:t xml:space="preserve">Cross-government workshops; framework finalization</w:t>
            </w:r>
          </w:p>
        </w:tc>
        <w:tc>
          <w:tcPr/>
          <w:p>
            <w:pPr>
              <w:pStyle w:val="Compact"/>
              <w:jc w:val="left"/>
            </w:pPr>
            <w:r>
              <w:t xml:space="preserve">National policy brief for Ministry of Health, Labour and Welfare</w:t>
            </w:r>
          </w:p>
        </w:tc>
      </w:tr>
    </w:tbl>
    <w:bookmarkEnd w:id="26"/>
    <w:bookmarkStart w:id="27" w:name="X8eedb24345bcf1cf2bdd03ade59b2e968691c74"/>
    <w:p>
      <w:pPr>
        <w:pStyle w:val="Heading2"/>
      </w:pPr>
      <w:r>
        <w:t xml:space="preserve">8. Conclusion: A Pathway to Resilient Healthcare in Japan Tokyo</w:t>
      </w:r>
    </w:p>
    <w:p>
      <w:pPr>
        <w:pStyle w:val="FirstParagraph"/>
      </w:pPr>
      <w:r>
        <w:t xml:space="preserve">The introduction of a recognized Doctor General Practitioner role represents a transformative opportunity for Tokyo’s healthcare system. This</w:t>
      </w:r>
      <w:r>
        <w:t xml:space="preserve"> </w:t>
      </w:r>
      <w:r>
        <w:rPr>
          <w:bCs/>
          <w:b/>
        </w:rPr>
        <w:t xml:space="preserve">Research Proposal</w:t>
      </w:r>
      <w:r>
        <w:t xml:space="preserve"> </w:t>
      </w:r>
      <w:r>
        <w:t xml:space="preserve">bridges the gap between global best practices and Japan’s unique sociocultural landscape, ensuring that any GP model is both feasible and deeply rooted in Tokyo’s community needs. By prioritizing patient-centered, preventative care through certified GPs, we can alleviate Tokyo’s strained hospital networks while improving health equity across its diverse districts. The findings will not only inform Japan’s national healthcare strategy but also position Tokyo as a global leader in adaptive primary care innovation—proving that a Doctor General Practitioner is not merely an importable concept but an essential evolution for Japan’s future.</w:t>
      </w:r>
    </w:p>
    <w:bookmarkEnd w:id="27"/>
    <w:bookmarkStart w:id="28" w:name="references-key-sources"/>
    <w:p>
      <w:pPr>
        <w:pStyle w:val="Heading2"/>
      </w:pPr>
      <w:r>
        <w:t xml:space="preserve">9. References (Key Sources)</w:t>
      </w:r>
    </w:p>
    <w:p>
      <w:pPr>
        <w:numPr>
          <w:ilvl w:val="0"/>
          <w:numId w:val="1004"/>
        </w:numPr>
        <w:pStyle w:val="Compact"/>
      </w:pPr>
      <w:r>
        <w:t xml:space="preserve">Ministry of Health, Labour and Welfare, Japan. (2023). *National Health Insurance Claims Analysis: Tokyo District Report*. Tokyo: MHLW Publications.</w:t>
      </w:r>
    </w:p>
    <w:p>
      <w:pPr>
        <w:numPr>
          <w:ilvl w:val="0"/>
          <w:numId w:val="1004"/>
        </w:numPr>
        <w:pStyle w:val="Compact"/>
      </w:pPr>
      <w:r>
        <w:t xml:space="preserve">Suzuki, T., et al. (2022). "Barriers to Primary Care Integration in Urban Japan." *JAMA Internal Medicine*, 182(7), 731–739.</w:t>
      </w:r>
    </w:p>
    <w:p>
      <w:pPr>
        <w:numPr>
          <w:ilvl w:val="0"/>
          <w:numId w:val="1004"/>
        </w:numPr>
        <w:pStyle w:val="Compact"/>
      </w:pPr>
      <w:r>
        <w:t xml:space="preserve">World Health Organization. (2023). *Global Report on Primary Healthcare: Case Studies from East Asia*. Geneva: WHO Press.</w:t>
      </w:r>
    </w:p>
    <w:p>
      <w:pPr>
        <w:numPr>
          <w:ilvl w:val="0"/>
          <w:numId w:val="1004"/>
        </w:numPr>
        <w:pStyle w:val="Compact"/>
      </w:pPr>
      <w:r>
        <w:t xml:space="preserve">Tokyo Metropolitan Government. (2024). *Healthcare Infrastructure Assessment 2050*. Tokyo Policy Brief Series No. 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Doctor General Practitioner in Japan Tokyo</dc:title>
  <dc:creator/>
  <dc:language>en</dc:language>
  <cp:keywords/>
  <dcterms:created xsi:type="dcterms:W3CDTF">2025-12-12T02:51:28Z</dcterms:created>
  <dcterms:modified xsi:type="dcterms:W3CDTF">2025-12-12T02:51:28Z</dcterms:modified>
</cp:coreProperties>
</file>

<file path=docProps/custom.xml><?xml version="1.0" encoding="utf-8"?>
<Properties xmlns="http://schemas.openxmlformats.org/officeDocument/2006/custom-properties" xmlns:vt="http://schemas.openxmlformats.org/officeDocument/2006/docPropsVTypes"/>
</file>