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Casablanca,</w:t>
      </w:r>
      <w:r>
        <w:t xml:space="preserve"> </w:t>
      </w:r>
      <w:r>
        <w:t xml:space="preserve">Morocco</w:t>
      </w:r>
    </w:p>
    <w:bookmarkStart w:id="29" w:name="X0d3f92d00abae11849deacdadd5844785fce010"/>
    <w:p>
      <w:pPr>
        <w:pStyle w:val="Heading1"/>
      </w:pPr>
      <w:r>
        <w:t xml:space="preserve">Research Proposal: Strengthening Primary Healthcare Delivery via Doctor General Practitioner Networks in Urban Settings of Morocco Casablanca</w:t>
      </w:r>
    </w:p>
    <w:bookmarkStart w:id="20" w:name="introduction"/>
    <w:p>
      <w:pPr>
        <w:pStyle w:val="Heading2"/>
      </w:pPr>
      <w:r>
        <w:t xml:space="preserve">1. Introduction</w:t>
      </w:r>
    </w:p>
    <w:p>
      <w:pPr>
        <w:pStyle w:val="FirstParagraph"/>
      </w:pPr>
      <w:r>
        <w:t xml:space="preserve">In the rapidly urbanizing landscape of Morocco, Casablanca stands as the nation's economic epicenter and most populous city, housing over 4 million residents. Amidst this demographic surge, the Moroccan healthcare system faces critical challenges in delivering accessible and equitable primary care. This research proposal addresses a pivotal gap: optimizing the role of</w:t>
      </w:r>
      <w:r>
        <w:t xml:space="preserve"> </w:t>
      </w:r>
      <w:r>
        <w:rPr>
          <w:bCs/>
          <w:b/>
        </w:rPr>
        <w:t xml:space="preserve">Doctor General Practitioner</w:t>
      </w:r>
      <w:r>
        <w:t xml:space="preserve"> </w:t>
      </w:r>
      <w:r>
        <w:t xml:space="preserve">(GP) as frontline healthcare providers within Casablanca's complex urban health ecosystem. The Moroccan government's National Health Strategy 2030 prioritizes strengthening primary healthcare, yet Casablanca's GP workforce remains strained by uneven distribution, administrative barriers, and insufficient integration with specialized care. This study proposes to investigate systemic constraints and opportunities for GPs in Morocco Casablanca to catalyze a more resilient primary care framework.</w:t>
      </w:r>
    </w:p>
    <w:bookmarkEnd w:id="20"/>
    <w:bookmarkStart w:id="21" w:name="problem-statement"/>
    <w:p>
      <w:pPr>
        <w:pStyle w:val="Heading2"/>
      </w:pPr>
      <w:r>
        <w:t xml:space="preserve">2. Problem Statement</w:t>
      </w:r>
    </w:p>
    <w:p>
      <w:pPr>
        <w:pStyle w:val="FirstParagraph"/>
      </w:pPr>
      <w:r>
        <w:t xml:space="preserve">Casablanca's healthcare infrastructure is characterized by severe overburdening of public health centers, with an estimated 1 GP serving 5,000+ patients—far exceeding the WHO-recommended ratio of 1:3,500. This strain manifests in extended waiting times (averaging 4-6 hours for routine consultations), fragmented care pathways, and limited preventive services. Crucially,</w:t>
      </w:r>
      <w:r>
        <w:t xml:space="preserve"> </w:t>
      </w:r>
      <w:r>
        <w:rPr>
          <w:bCs/>
          <w:b/>
        </w:rPr>
        <w:t xml:space="preserve">Doctor General Practitioner</w:t>
      </w:r>
      <w:r>
        <w:t xml:space="preserve"> </w:t>
      </w:r>
      <w:r>
        <w:t xml:space="preserve">roles in Morocco Casablanca are often underutilized due to policy gaps: GPs lack formal referral protocols with specialists, face bureaucratic hurdles in accessing medical records across public-private facilities, and receive minimal training in chronic disease management—key concerns as non-communicable diseases (diabetes, hypertension) account for 68% of caseloads. Without addressing these systemic issues, Morocco's ambition to achieve universal health coverage by 2030 remains unattainable in its most critical urban hub.</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and professional challenges of Doctor General Practitioners across all 18 municipal health districts in Casablanca.</w:t>
      </w:r>
    </w:p>
    <w:p>
      <w:pPr>
        <w:numPr>
          <w:ilvl w:val="0"/>
          <w:numId w:val="1001"/>
        </w:numPr>
        <w:pStyle w:val="Compact"/>
      </w:pPr>
      <w:r>
        <w:t xml:space="preserve">To analyze patient access barriers (geographical, financial, cultural) related to GP services in urban settings of Morocco Casablanca.</w:t>
      </w:r>
    </w:p>
    <w:p>
      <w:pPr>
        <w:numPr>
          <w:ilvl w:val="0"/>
          <w:numId w:val="1001"/>
        </w:numPr>
        <w:pStyle w:val="Compact"/>
      </w:pPr>
      <w:r>
        <w:t xml:space="preserve">To evaluate the efficacy of existing referral systems between GPs and secondary care facilities within the Moroccan healthcare structure.</w:t>
      </w:r>
    </w:p>
    <w:p>
      <w:pPr>
        <w:numPr>
          <w:ilvl w:val="0"/>
          <w:numId w:val="1001"/>
        </w:numPr>
        <w:pStyle w:val="Compact"/>
      </w:pPr>
      <w:r>
        <w:t xml:space="preserve">To co-design evidence-based policy recommendations for enhancing GP roles in Casablanca’s primary healthcare system, with scalability to other Moroccan urban centers.</w:t>
      </w:r>
    </w:p>
    <w:bookmarkEnd w:id="22"/>
    <w:bookmarkStart w:id="23" w:name="literature-review-synthesis"/>
    <w:p>
      <w:pPr>
        <w:pStyle w:val="Heading2"/>
      </w:pPr>
      <w:r>
        <w:t xml:space="preserve">4. Literature Review (Synthesis)</w:t>
      </w:r>
    </w:p>
    <w:p>
      <w:pPr>
        <w:pStyle w:val="FirstParagraph"/>
      </w:pPr>
      <w:r>
        <w:t xml:space="preserve">Existing studies on GPs in Morocco reveal critical insights: A 2021 Ministry of Health report confirmed that only 35% of Casablanca’s health centers have full-time GPs, with rural districts suffering acute shortages. International parallels from Tunisia and Egypt demonstrate that GP-led primary care networks reduce hospitalizations by 27% and improve maternal/child outcomes. However, Morocco's unique context—characterized by a dual public-private healthcare landscape and strong traditional medicine practices—requires localized solutions. Notably, the absence of standardized GP training curricula in Moroccan medical schools (compared to France or Canada) contributes to inconsistent service quality. This research bridges this gap by focusing on Casablanca as the microcosm of Morocco's urban healthcare challenges, where 70% of national primary care visits occur.</w:t>
      </w:r>
    </w:p>
    <w:bookmarkEnd w:id="23"/>
    <w:bookmarkStart w:id="24" w:name="methodology"/>
    <w:p>
      <w:pPr>
        <w:pStyle w:val="Heading2"/>
      </w:pPr>
      <w:r>
        <w:t xml:space="preserve">5. Methodology</w:t>
      </w:r>
    </w:p>
    <w:p>
      <w:pPr>
        <w:pStyle w:val="FirstParagraph"/>
      </w:pPr>
      <w:r>
        <w:t xml:space="preserve">This mixed-methods study employs a sequential explanatory design over 14 months:</w:t>
      </w:r>
    </w:p>
    <w:p>
      <w:pPr>
        <w:numPr>
          <w:ilvl w:val="0"/>
          <w:numId w:val="1002"/>
        </w:numPr>
        <w:pStyle w:val="Compact"/>
      </w:pPr>
      <w:r>
        <w:rPr>
          <w:bCs/>
          <w:b/>
        </w:rPr>
        <w:t xml:space="preserve">Phase 1 (Quantitative):</w:t>
      </w:r>
      <w:r>
        <w:t xml:space="preserve"> </w:t>
      </w:r>
      <w:r>
        <w:t xml:space="preserve">Stratified random sampling of 300 patients across 30 health centers and surveys of all 856 registered GPs in Casablanca. Metrics include consultation times, referral delays, patient satisfaction (using WHO-5 scale), and workload indicators.</w:t>
      </w:r>
    </w:p>
    <w:p>
      <w:pPr>
        <w:numPr>
          <w:ilvl w:val="0"/>
          <w:numId w:val="1002"/>
        </w:numPr>
        <w:pStyle w:val="Compact"/>
      </w:pPr>
      <w:r>
        <w:rPr>
          <w:bCs/>
          <w:b/>
        </w:rPr>
        <w:t xml:space="preserve">Phase 2 (Qualitative):</w:t>
      </w:r>
      <w:r>
        <w:t xml:space="preserve"> </w:t>
      </w:r>
      <w:r>
        <w:t xml:space="preserve">In-depth interviews with 40 GPs and 20 healthcare administrators to explore systemic barriers. Focus groups with community health workers will contextualize cultural access issues.</w:t>
      </w:r>
    </w:p>
    <w:p>
      <w:pPr>
        <w:numPr>
          <w:ilvl w:val="0"/>
          <w:numId w:val="1002"/>
        </w:numPr>
        <w:pStyle w:val="Compact"/>
      </w:pPr>
      <w:r>
        <w:rPr>
          <w:bCs/>
          <w:b/>
        </w:rPr>
        <w:t xml:space="preserve">Data Analysis:</w:t>
      </w:r>
      <w:r>
        <w:t xml:space="preserve"> </w:t>
      </w:r>
      <w:r>
        <w:t xml:space="preserve">SPSS for statistical analysis of quantitative data; thematic analysis using NVivo for qualitative insights. Triangulation ensures validity across datasets.</w:t>
      </w:r>
    </w:p>
    <w:p>
      <w:pPr>
        <w:pStyle w:val="FirstParagraph"/>
      </w:pPr>
      <w:r>
        <w:t xml:space="preserve">Collaboration with Casablanca’s Regional Health Directorate guarantees ethical compliance and stakeholder buy-in, with all data anonymized per Moroccan Data Protection Law (2018).</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Morocco Casablanca:</w:t>
      </w:r>
    </w:p>
    <w:p>
      <w:pPr>
        <w:numPr>
          <w:ilvl w:val="0"/>
          <w:numId w:val="1003"/>
        </w:numPr>
        <w:pStyle w:val="Compact"/>
      </w:pPr>
      <w:r>
        <w:t xml:space="preserve">A geospatial "GP Access Index" identifying underserved neighborhoods, directly informing resource allocation by the Ministry of Health.</w:t>
      </w:r>
    </w:p>
    <w:p>
      <w:pPr>
        <w:numPr>
          <w:ilvl w:val="0"/>
          <w:numId w:val="1003"/>
        </w:numPr>
        <w:pStyle w:val="Compact"/>
      </w:pPr>
      <w:r>
        <w:t xml:space="preserve">A validated referral protocol template integrating Casablanca’s public hospitals and private clinics—addressing the current 50% gap in specialist coordination.</w:t>
      </w:r>
    </w:p>
    <w:p>
      <w:pPr>
        <w:numPr>
          <w:ilvl w:val="0"/>
          <w:numId w:val="1003"/>
        </w:numPr>
        <w:pStyle w:val="Compact"/>
      </w:pPr>
      <w:r>
        <w:t xml:space="preserve">Training modules for Doctor General Practitioner certification, developed with Morocco’s National School of Medicine to standardize urban primary care competencies.</w:t>
      </w:r>
    </w:p>
    <w:p>
      <w:pPr>
        <w:pStyle w:val="FirstParagraph"/>
      </w:pPr>
      <w:r>
        <w:t xml:space="preserve">The significance extends beyond Casablanca: As Morocco’s model city for urban health innovation, findings will support national policy shifts under the "Morocco 2030" framework. By reducing emergency department overuse (estimated at $28M annual savings in Casablanca), this proposal directly contributes to fiscal sustainability. Crucially, it empowers</w:t>
      </w:r>
      <w:r>
        <w:t xml:space="preserve"> </w:t>
      </w:r>
      <w:r>
        <w:rPr>
          <w:bCs/>
          <w:b/>
        </w:rPr>
        <w:t xml:space="preserve">Doctor General Practitioner</w:t>
      </w:r>
      <w:r>
        <w:t xml:space="preserve"> </w:t>
      </w:r>
      <w:r>
        <w:t xml:space="preserve">as the linchpin of community-centered care—aligning with Morocco’s cultural ethos of "health for all" while leveraging Casablanca’s status as a hub for medical innovation.</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Months</w:t>
      </w:r>
    </w:p>
    <w:p>
      <w:pPr>
        <w:pStyle w:val="BodyText"/>
      </w:pPr>
      <w:r>
        <w:t xml:space="preserve">Key Deliverables</w:t>
      </w:r>
    </w:p>
    <w:p>
      <w:pPr>
        <w:pStyle w:val="BodyText"/>
      </w:pPr>
      <w:r>
        <w:t xml:space="preserve">Literature Review &amp; Protocol Finalization</w:t>
      </w:r>
    </w:p>
    <w:p>
      <w:pPr>
        <w:pStyle w:val="BodyText"/>
      </w:pPr>
      <w:r>
        <w:t xml:space="preserve">1-2</w:t>
      </w:r>
    </w:p>
    <w:p>
      <w:pPr>
        <w:pStyle w:val="BodyText"/>
      </w:pPr>
      <w:r>
        <w:t xml:space="preserve">Approved ethics clearance, survey instruments</w:t>
      </w:r>
    </w:p>
    <w:p>
      <w:pPr>
        <w:pStyle w:val="BodyText"/>
      </w:pPr>
      <w:r>
        <w:t xml:space="preserve">Data Collection (Quantitative)</w:t>
      </w:r>
    </w:p>
    <w:p>
      <w:pPr>
        <w:pStyle w:val="BodyText"/>
      </w:pPr>
      <w:r>
        <w:t xml:space="preserve">3-6</w:t>
      </w:r>
    </w:p>
    <w:p>
      <w:pPr>
        <w:pStyle w:val="BodyText"/>
      </w:pPr>
      <w:r>
        <w:t xml:space="preserve">Dataset of 300 patients, 856 GPs surveyed</w:t>
      </w:r>
    </w:p>
    <w:p>
      <w:pPr>
        <w:pStyle w:val="BodyText"/>
      </w:pPr>
      <w:r>
        <w:t xml:space="preserve">Data Collection (Qualitative)</w:t>
      </w:r>
    </w:p>
    <w:p>
      <w:pPr>
        <w:pStyle w:val="BodyText"/>
      </w:pPr>
      <w:r>
        <w:t xml:space="preserve">7-9</w:t>
      </w:r>
    </w:p>
    <w:p>
      <w:pPr>
        <w:pStyle w:val="BodyText"/>
      </w:pPr>
      <w:r>
        <w:t xml:space="preserve">Transcripts from 60 interviews/focus groups</w:t>
      </w:r>
    </w:p>
    <w:p>
      <w:pPr>
        <w:pStyle w:val="BodyText"/>
      </w:pPr>
      <w:r>
        <w:t xml:space="preserve">Data Analysis &amp; Draft Report</w:t>
      </w:r>
    </w:p>
    <w:p>
      <w:pPr>
        <w:pStyle w:val="BodyText"/>
      </w:pPr>
      <w:r>
        <w:t xml:space="preserve">10-12</w:t>
      </w:r>
    </w:p>
    <w:p>
      <w:pPr>
        <w:pStyle w:val="BodyText"/>
      </w:pPr>
      <w:r>
        <w:t xml:space="preserve">Preliminary policy brief for Casablanca Health Directorate</w:t>
      </w:r>
    </w:p>
    <w:p>
      <w:pPr>
        <w:pStyle w:val="BodyText"/>
      </w:pPr>
      <w:r>
        <w:t xml:space="preserve">Dissemination &amp; Policy Integration</w:t>
      </w:r>
    </w:p>
    <w:p>
      <w:pPr>
        <w:pStyle w:val="BodyText"/>
      </w:pPr>
      <w:r>
        <w:t xml:space="preserve">13-14</w:t>
      </w:r>
    </w:p>
    <w:p>
      <w:pPr>
        <w:pStyle w:val="BodyText"/>
      </w:pPr>
      <w:r>
        <w:t xml:space="preserve">National workshop with Ministry of Health, peer-reviewed publication</w:t>
      </w:r>
    </w:p>
    <w:p>
      <w:pPr>
        <w:pStyle w:val="BodyText"/>
      </w:pPr>
      <w:r>
        <w:t xml:space="preserve">Budget: $85,000 (covered 65% by King Mohammed VI Foundation for Scientific Research and 35% by Casablanca University’s Faculty of Medicine). Key resources include mobile data collection devices for field teams and an AI-driven geospatial mapping tool donated by Morocco’s National Center for Geographic Information.</w:t>
      </w:r>
    </w:p>
    <w:bookmarkStart w:id="27" w:name="conclusion"/>
    <w:p>
      <w:pPr>
        <w:pStyle w:val="Heading2"/>
      </w:pPr>
      <w:r>
        <w:t xml:space="preserve">8. Conclusion</w:t>
      </w:r>
    </w:p>
    <w:p>
      <w:pPr>
        <w:pStyle w:val="FirstParagraph"/>
      </w:pPr>
      <w:r>
        <w:t xml:space="preserve">The trajectory of Morocco Casablanca as a global city hinges on its capacity to deliver human-centered healthcare. This research proposal transcends academic inquiry—it is a pragmatic intervention targeting the very arteries of urban health resilience through the Doctor General Practitioner. By centering Casablanca’s unique sociocultural and infrastructural realities, we will generate actionable pathways to transform primary care from a point of crisis into a pillar of national well-being. With Morocco’s healthcare system at an inflection point, this study positions</w:t>
      </w:r>
      <w:r>
        <w:t xml:space="preserve"> </w:t>
      </w:r>
      <w:r>
        <w:rPr>
          <w:bCs/>
          <w:b/>
        </w:rPr>
        <w:t xml:space="preserve">Doctor General Practitioner</w:t>
      </w:r>
      <w:r>
        <w:t xml:space="preserve"> </w:t>
      </w:r>
      <w:r>
        <w:t xml:space="preserve">not merely as clinicians but as architects of equitable urban health futures. The outcomes will resonate far beyond Casablanca’s borders, offering a replicable blueprint for 20+ Moroccan cities striving for healthcare excellence in the 21st century.</w:t>
      </w:r>
    </w:p>
    <w:bookmarkEnd w:id="27"/>
    <w:bookmarkStart w:id="28" w:name="references"/>
    <w:p>
      <w:pPr>
        <w:pStyle w:val="Heading2"/>
      </w:pPr>
      <w:r>
        <w:t xml:space="preserve">References</w:t>
      </w:r>
    </w:p>
    <w:p>
      <w:pPr>
        <w:numPr>
          <w:ilvl w:val="0"/>
          <w:numId w:val="1004"/>
        </w:numPr>
        <w:pStyle w:val="Compact"/>
      </w:pPr>
      <w:r>
        <w:t xml:space="preserve">Ministry of Health, Morocco. (2021). *National Health Statistics Report: Urban Primary Care*. Rabat: Government Printing Office.</w:t>
      </w:r>
    </w:p>
    <w:p>
      <w:pPr>
        <w:numPr>
          <w:ilvl w:val="0"/>
          <w:numId w:val="1004"/>
        </w:numPr>
        <w:pStyle w:val="Compact"/>
      </w:pPr>
      <w:r>
        <w:t xml:space="preserve">Hassan, A. et al. (2023). "GP Workforce Gaps in Maghreb Urban Centers." *Journal of Global Health*, 13(2), 45-59.</w:t>
      </w:r>
    </w:p>
    <w:p>
      <w:pPr>
        <w:numPr>
          <w:ilvl w:val="0"/>
          <w:numId w:val="1004"/>
        </w:numPr>
        <w:pStyle w:val="Compact"/>
      </w:pPr>
      <w:r>
        <w:t xml:space="preserve">WHO. (2020). *Primary Healthcare: Morocco’s Path to UHC*. Geneva: World Health Organization.</w:t>
      </w:r>
    </w:p>
    <w:p>
      <w:pPr>
        <w:numPr>
          <w:ilvl w:val="0"/>
          <w:numId w:val="1004"/>
        </w:numPr>
        <w:pStyle w:val="Compact"/>
      </w:pPr>
      <w:r>
        <w:t xml:space="preserve">Morocco’s National Strategic Plan for Healthcare Development (2030). Ministry of Health, Rabat.</w:t>
      </w:r>
    </w:p>
    <w:bookmarkEnd w:id="28"/>
    <w:p>
      <w:pPr>
        <w:pStyle w:val="FirstParagraph"/>
      </w:pPr>
      <w:r>
        <w:rPr>
          <w:iCs/>
          <w:i/>
        </w:rPr>
        <w:t xml:space="preserve">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Casablanca, Morocco</dc:title>
  <dc:creator/>
  <dc:language>en</dc:language>
  <cp:keywords/>
  <dcterms:created xsi:type="dcterms:W3CDTF">2026-07-21T16:24:49Z</dcterms:created>
  <dcterms:modified xsi:type="dcterms:W3CDTF">2026-07-21T16:24:49Z</dcterms:modified>
</cp:coreProperties>
</file>

<file path=docProps/custom.xml><?xml version="1.0" encoding="utf-8"?>
<Properties xmlns="http://schemas.openxmlformats.org/officeDocument/2006/custom-properties" xmlns:vt="http://schemas.openxmlformats.org/officeDocument/2006/docPropsVTypes"/>
</file>