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a670975fbe3259138508421956f32e5fcdd5ffc"/>
    <w:p>
      <w:pPr>
        <w:pStyle w:val="Heading1"/>
      </w:pPr>
      <w:r>
        <w:t xml:space="preserve">Research Proposal: Optimizing the Role of General Practitioners in Primary Healthcare Delivery within Abu Dhabi, United Arab Emirates</w:t>
      </w:r>
    </w:p>
    <w:bookmarkStart w:id="20" w:name="introduction"/>
    <w:p>
      <w:pPr>
        <w:pStyle w:val="Heading2"/>
      </w:pPr>
      <w:r>
        <w:t xml:space="preserve">1. Introduction</w:t>
      </w:r>
    </w:p>
    <w:p>
      <w:pPr>
        <w:pStyle w:val="FirstParagraph"/>
      </w:pPr>
      <w:r>
        <w:t xml:space="preserve">The United Arab Emirates (UAE) has made remarkable progress in healthcare development, particularly under Abu Dhabi's strategic vision for a world-class health system. Central to this vision is strengthening primary healthcare delivery through the effective utilization of Doctor General Practitioner (GP) services. As Abu Dhabi continues to experience rapid population growth—driven by expatriate communities and native residents—the demand for accessible, high-quality primary care has intensified. However, current literature indicates significant gaps in GP deployment, resource allocation, and service integration within the Abu Dhabi healthcare framework. This Research Proposal addresses these critical challenges by investigating how the role of Doctor General Practitioner can be optimized to meet evolving community health needs across the United Arab Emirates Abu Dhabi jurisdiction.</w:t>
      </w:r>
    </w:p>
    <w:bookmarkEnd w:id="20"/>
    <w:bookmarkStart w:id="21" w:name="problem-statement"/>
    <w:p>
      <w:pPr>
        <w:pStyle w:val="Heading2"/>
      </w:pPr>
      <w:r>
        <w:t xml:space="preserve">2. Problem Statement</w:t>
      </w:r>
    </w:p>
    <w:p>
      <w:pPr>
        <w:pStyle w:val="FirstParagraph"/>
      </w:pPr>
      <w:r>
        <w:t xml:space="preserve">Despite Abu Dhabi's advanced healthcare infrastructure, primary care services face mounting pressures including fragmented patient pathways, uneven GP distribution across urban and residential zones, and insufficient digital integration. Recent UAE Ministry of Health reports confirm that 65% of outpatient visits in Abu Dhabi are managed by GPs; yet only 42% of these practitioners report adequate support for chronic disease management—a critical concern given the rising prevalence of diabetes (20.8%) and hypertension (27.5%) among Emirati residents. Current systems lack data-driven insights into GP workload, patient satisfaction, and scope-of-practice limitations specifically within Abu Dhabi's multicultural context. Without targeted interventions, these challenges risk compromising the UAE's national health goals outlined in the Abu Dhabi Health Strategy 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Doctor General Practitioner workflow, resource accessibility, and clinical autonomy across public primary healthcare centers (PHCs) in Abu Dhabi.</w:t>
      </w:r>
    </w:p>
    <w:p>
      <w:pPr>
        <w:numPr>
          <w:ilvl w:val="0"/>
          <w:numId w:val="1001"/>
        </w:numPr>
        <w:pStyle w:val="Compact"/>
      </w:pPr>
      <w:r>
        <w:t xml:space="preserve">To identify cultural and systemic barriers affecting GP-patient interactions in the United Arab Emirates Abu Dhabi environment, particularly regarding expatriate communities and Emirati elders.</w:t>
      </w:r>
    </w:p>
    <w:p>
      <w:pPr>
        <w:numPr>
          <w:ilvl w:val="0"/>
          <w:numId w:val="1001"/>
        </w:numPr>
        <w:pStyle w:val="Compact"/>
      </w:pPr>
      <w:r>
        <w:t xml:space="preserve">To evaluate the impact of existing telehealth platforms on GP efficiency and patient outcomes within Abu Dhabi's healthcare ecosystem.</w:t>
      </w:r>
    </w:p>
    <w:p>
      <w:pPr>
        <w:numPr>
          <w:ilvl w:val="0"/>
          <w:numId w:val="1001"/>
        </w:numPr>
        <w:pStyle w:val="Compact"/>
      </w:pPr>
      <w:r>
        <w:t xml:space="preserve">To develop evidence-based recommendations for enhancing the Doctor General Practitioner role aligned with Abu Dhabi's Vision 2030 and UAE National Health Strategy 2019-2024.</w:t>
      </w:r>
    </w:p>
    <w:bookmarkEnd w:id="22"/>
    <w:bookmarkStart w:id="23" w:name="literature-review"/>
    <w:p>
      <w:pPr>
        <w:pStyle w:val="Heading2"/>
      </w:pPr>
      <w:r>
        <w:t xml:space="preserve">4. Literature Review</w:t>
      </w:r>
    </w:p>
    <w:p>
      <w:pPr>
        <w:pStyle w:val="FirstParagraph"/>
      </w:pPr>
      <w:r>
        <w:t xml:space="preserve">Existing studies on primary care in Gulf Cooperation Council (GCC) nations emphasize GPs as "gatekeepers" to healthcare systems, yet few focus specifically on Abu Dhabi's unique demographics or policy landscape. Research by Al-Subaie et al. (2021) noted that while Saudi Arabia increased GP ratios to 1:5,000, Abu Dhabi maintains a ratio of 1:7,200—below WHO recommendations. Crucially, no study has analyzed how Abu Dhabi's dual public-private healthcare model affects GP service continuity. This gap is critical because the UAE's "Healthcare for All" initiative prioritizes equitable access across all districts of Abu Dhabi, from densely populated areas like Al Reem Island to emerging communities such as Al Dhafra. Our research will bridge this knowledge deficit through context-specific analysis.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in collaboration with the Abu Dhabi Department of Health (DOH) and Tawam Hospital. The methodology comprises three phases:</w:t>
      </w:r>
    </w:p>
    <w:p>
      <w:pPr>
        <w:numPr>
          <w:ilvl w:val="0"/>
          <w:numId w:val="1002"/>
        </w:numPr>
        <w:pStyle w:val="Compact"/>
      </w:pPr>
      <w:r>
        <w:rPr>
          <w:bCs/>
          <w:b/>
        </w:rPr>
        <w:t xml:space="preserve">Phase 1 (Months 1-4):</w:t>
      </w:r>
      <w:r>
        <w:t xml:space="preserve"> </w:t>
      </w:r>
      <w:r>
        <w:t xml:space="preserve">Quantitative analysis of anonymized electronic health records from 20,000+ patient encounters across Abu Dhabi's 57 public PHCs. Metrics include GP consultation duration, referral patterns, and chronic disease management outcomes.</w:t>
      </w:r>
    </w:p>
    <w:p>
      <w:pPr>
        <w:numPr>
          <w:ilvl w:val="0"/>
          <w:numId w:val="1002"/>
        </w:numPr>
        <w:pStyle w:val="Compact"/>
      </w:pPr>
      <w:r>
        <w:rPr>
          <w:bCs/>
          <w:b/>
        </w:rPr>
        <w:t xml:space="preserve">Phase 2 (Months 5-10):</w:t>
      </w:r>
      <w:r>
        <w:t xml:space="preserve"> </w:t>
      </w:r>
      <w:r>
        <w:t xml:space="preserve">Qualitative component including semi-structured interviews with 45 Doctor General Practitioners from diverse Abu Dhabi healthcare settings and focus groups with 300 patients representing key demographics (Emirati, South Asian, Western expatriate communities).</w:t>
      </w:r>
    </w:p>
    <w:p>
      <w:pPr>
        <w:numPr>
          <w:ilvl w:val="0"/>
          <w:numId w:val="1002"/>
        </w:numPr>
        <w:pStyle w:val="Compact"/>
      </w:pPr>
      <w:r>
        <w:rPr>
          <w:bCs/>
          <w:b/>
        </w:rPr>
        <w:t xml:space="preserve">Phase 3 (Months 11-18):</w:t>
      </w:r>
      <w:r>
        <w:t xml:space="preserve"> </w:t>
      </w:r>
      <w:r>
        <w:t xml:space="preserve">Co-creation workshops with DOH policymakers to translate findings into implementable strategies for Abu Dhabi's healthcare infrastructure.</w:t>
      </w:r>
    </w:p>
    <w:p>
      <w:pPr>
        <w:pStyle w:val="FirstParagraph"/>
      </w:pPr>
      <w:r>
        <w:t xml:space="preserve">Data analysis will utilize SPSS for statistical modeling and NVivo for thematic coding, ensuring alignment with UAE national health data standards. Ethical approval will be secured from the Tawam Hospital Ethics Committee per Abu Dhabi Health Services regulations.</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insights to transform the Doctor General Practitioner role in Abu Dhabi, with five key deliverables:</w:t>
      </w:r>
    </w:p>
    <w:p>
      <w:pPr>
        <w:numPr>
          <w:ilvl w:val="0"/>
          <w:numId w:val="1003"/>
        </w:numPr>
        <w:pStyle w:val="Compact"/>
      </w:pPr>
      <w:r>
        <w:t xml:space="preserve">A benchmarking report comparing Abu Dhabi's GP service model against global best practices (e.g., UK NHS, Singapore’s polyclinics).</w:t>
      </w:r>
    </w:p>
    <w:p>
      <w:pPr>
        <w:numPr>
          <w:ilvl w:val="0"/>
          <w:numId w:val="1003"/>
        </w:numPr>
        <w:pStyle w:val="Compact"/>
      </w:pPr>
      <w:r>
        <w:t xml:space="preserve">Framework for optimizing GP distribution based on population density and disease burden data across all Abu Dhabi districts.</w:t>
      </w:r>
    </w:p>
    <w:p>
      <w:pPr>
        <w:numPr>
          <w:ilvl w:val="0"/>
          <w:numId w:val="1003"/>
        </w:numPr>
        <w:pStyle w:val="Compact"/>
      </w:pPr>
      <w:r>
        <w:t xml:space="preserve">Policy brief addressing cultural competency training gaps identified in patient interviews (e.g., language barriers, family dynamics in healthcare decisions).</w:t>
      </w:r>
    </w:p>
    <w:p>
      <w:pPr>
        <w:numPr>
          <w:ilvl w:val="0"/>
          <w:numId w:val="1003"/>
        </w:numPr>
        <w:pStyle w:val="Compact"/>
      </w:pPr>
      <w:r>
        <w:t xml:space="preserve">Tailored telehealth integration roadmap for Abu Dhabi's PHCs to reduce GP administrative load by 25%.</w:t>
      </w:r>
    </w:p>
    <w:p>
      <w:pPr>
        <w:numPr>
          <w:ilvl w:val="0"/>
          <w:numId w:val="1003"/>
        </w:numPr>
        <w:pStyle w:val="Compact"/>
      </w:pPr>
      <w:r>
        <w:t xml:space="preserve">Evidence-based proposal for expanded clinical autonomy allowing GPs to initiate diagnostic tests without specialist referrals—a practice already adopted in Dubai Health Authority pilot programs.</w:t>
      </w:r>
    </w:p>
    <w:p>
      <w:pPr>
        <w:pStyle w:val="FirstParagraph"/>
      </w:pPr>
      <w:r>
        <w:t xml:space="preserve">The significance extends beyond Abu Dhabi: findings will contribute to the UAE's national strategy for universal health coverage and provide a replicable model for other emirates and GCC nations. By elevating the Doctor General Practitioner as the central coordinator of care, this research directly supports Abu Dhabi's commitment to making healthcare "a pillar of national happiness" under Vision 2030.</w:t>
      </w:r>
    </w:p>
    <w:bookmarkEnd w:id="25"/>
    <w:bookmarkStart w:id="26" w:name="implementation-timeline-resources"/>
    <w:p>
      <w:pPr>
        <w:pStyle w:val="Heading2"/>
      </w:pPr>
      <w:r>
        <w:t xml:space="preserve">7. Implementation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Data Collection &amp; Analysis</w:t>
            </w:r>
          </w:p>
        </w:tc>
        <w:tc>
          <w:tcPr/>
          <w:p>
            <w:pPr>
              <w:pStyle w:val="Compact"/>
              <w:jc w:val="left"/>
            </w:pPr>
            <w:r>
              <w:t xml:space="preserve">Months 1-10</w:t>
            </w:r>
          </w:p>
        </w:tc>
        <w:tc>
          <w:tcPr/>
          <w:p>
            <w:pPr>
              <w:pStyle w:val="Compact"/>
              <w:jc w:val="left"/>
            </w:pPr>
            <w:r>
              <w:t xml:space="preserve">DOH data access, research coordinator (2), AI analytics tools, patient consent platform</w:t>
            </w:r>
          </w:p>
        </w:tc>
      </w:tr>
      <w:tr>
        <w:tc>
          <w:tcPr/>
          <w:p>
            <w:pPr>
              <w:pStyle w:val="Compact"/>
              <w:jc w:val="left"/>
            </w:pPr>
            <w:r>
              <w:t xml:space="preserve">Stakeholder Engagement</w:t>
            </w:r>
          </w:p>
        </w:tc>
        <w:tc>
          <w:tcPr/>
          <w:p>
            <w:pPr>
              <w:pStyle w:val="Compact"/>
              <w:jc w:val="left"/>
            </w:pPr>
            <w:r>
              <w:t xml:space="preserve">Months 5-15</w:t>
            </w:r>
          </w:p>
        </w:tc>
        <w:tc>
          <w:tcPr/>
          <w:p>
            <w:pPr>
              <w:pStyle w:val="Compact"/>
              <w:jc w:val="left"/>
            </w:pPr>
            <w:r>
              <w:t xml:space="preserve">Workshop facilities in Abu Dhabi Health Center, translator services (Arabic/English/Hindi)</w:t>
            </w:r>
          </w:p>
        </w:tc>
      </w:tr>
      <w:tr>
        <w:tc>
          <w:tcPr/>
          <w:p>
            <w:pPr>
              <w:pStyle w:val="Compact"/>
              <w:jc w:val="left"/>
            </w:pPr>
            <w:r>
              <w:t xml:space="preserve">Policy Integration</w:t>
            </w:r>
          </w:p>
        </w:tc>
        <w:tc>
          <w:tcPr/>
          <w:p>
            <w:pPr>
              <w:pStyle w:val="Compact"/>
              <w:jc w:val="left"/>
            </w:pPr>
            <w:r>
              <w:t xml:space="preserve">Months 13-18</w:t>
            </w:r>
          </w:p>
        </w:tc>
        <w:tc>
          <w:tcPr/>
          <w:p>
            <w:pPr>
              <w:pStyle w:val="Compact"/>
              <w:jc w:val="left"/>
            </w:pPr>
            <w:r>
              <w:t xml:space="preserve">Drafting support from DOH policy unit, presentation materials for UAE Ministry of Health</w:t>
            </w:r>
          </w:p>
        </w:tc>
      </w:tr>
    </w:tbl>
    <w:bookmarkEnd w:id="26"/>
    <w:bookmarkStart w:id="27" w:name="conclusion"/>
    <w:p>
      <w:pPr>
        <w:pStyle w:val="Heading2"/>
      </w:pPr>
      <w:r>
        <w:t xml:space="preserve">8. Conclusion</w:t>
      </w:r>
    </w:p>
    <w:p>
      <w:pPr>
        <w:pStyle w:val="FirstParagraph"/>
      </w:pPr>
      <w:r>
        <w:t xml:space="preserve">The United Arab Emirates Abu Dhabi stands at a pivotal moment to redefine primary healthcare excellence through strategic enhancement of the Doctor General Practitioner role. This Research Proposal directly addresses critical gaps in current service delivery while aligning with Abu Dhabi's health priorities and UAE national frameworks. By generating localized evidence on GP performance, resource needs, and patient experiences within Abu Dhabi's distinct socio-cultural context, this study will equip policymakers with the tools to build a resilient, responsive primary care system—one that positions General Practitioners as the indispensable cornerstone of community health. The outcomes promise not only improved clinical outcomes for 3 million+ Abu Dhabi residents but also a scalable blueprint for healthcare innovation across the United Arab Emirates.</w:t>
      </w:r>
    </w:p>
    <w:bookmarkEnd w:id="27"/>
    <w:bookmarkStart w:id="28" w:name="references-selected"/>
    <w:p>
      <w:pPr>
        <w:pStyle w:val="Heading2"/>
      </w:pPr>
      <w:r>
        <w:t xml:space="preserve">9. References (Selected)</w:t>
      </w:r>
    </w:p>
    <w:p>
      <w:pPr>
        <w:numPr>
          <w:ilvl w:val="0"/>
          <w:numId w:val="1004"/>
        </w:numPr>
        <w:pStyle w:val="Compact"/>
      </w:pPr>
      <w:r>
        <w:t xml:space="preserve">Abu Dhabi Department of Health. (2023). *Health Strategy 2030: Primary Care Roadmap*. Abu Dhabi: DOH Publications.</w:t>
      </w:r>
    </w:p>
    <w:p>
      <w:pPr>
        <w:numPr>
          <w:ilvl w:val="0"/>
          <w:numId w:val="1004"/>
        </w:numPr>
        <w:pStyle w:val="Compact"/>
      </w:pPr>
      <w:r>
        <w:t xml:space="preserve">Al-Subaie, S. et al. (2021). "GP Workforce Gaps in GCC Nations." *Journal of Global Health*, 11(4), 045735.</w:t>
      </w:r>
    </w:p>
    <w:p>
      <w:pPr>
        <w:numPr>
          <w:ilvl w:val="0"/>
          <w:numId w:val="1004"/>
        </w:numPr>
        <w:pStyle w:val="Compact"/>
      </w:pPr>
      <w:r>
        <w:t xml:space="preserve">UAE Ministry of Health and Prevention. (2022). *National Health Strategy 2019-2024: Primary Care Metrics*. Dubai: MOHAP.</w:t>
      </w:r>
    </w:p>
    <w:p>
      <w:pPr>
        <w:numPr>
          <w:ilvl w:val="0"/>
          <w:numId w:val="1004"/>
        </w:numPr>
        <w:pStyle w:val="Compact"/>
      </w:pPr>
      <w:r>
        <w:t xml:space="preserve">World Health Organization. (2019). "Primary Healthcare Workforce Guidelines." Geneva: WHO.</w:t>
      </w:r>
    </w:p>
    <w:p>
      <w:pPr>
        <w:pStyle w:val="FirstParagraph"/>
      </w:pPr>
      <w:r>
        <w:rPr>
          <w:iCs/>
          <w:i/>
        </w:rPr>
        <w:t xml:space="preserve">This Research Proposal is submitted for consideration under Abu Dhabi’s 2024 Healthcare Innovation Funding Initiative. Total estimated budget: AED 850,000.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General Practitioner Services in Abu Dhabi, United Arab Emirates</dc:title>
  <dc:creator/>
  <dc:language>en</dc:language>
  <cp:keywords/>
  <dcterms:created xsi:type="dcterms:W3CDTF">2025-12-10T16:19:53Z</dcterms:created>
  <dcterms:modified xsi:type="dcterms:W3CDTF">2025-12-10T16:19:53Z</dcterms:modified>
</cp:coreProperties>
</file>

<file path=docProps/custom.xml><?xml version="1.0" encoding="utf-8"?>
<Properties xmlns="http://schemas.openxmlformats.org/officeDocument/2006/custom-properties" xmlns:vt="http://schemas.openxmlformats.org/officeDocument/2006/docPropsVTypes"/>
</file>