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17dd4a70e2d0f95e70a5101310a8d359c60e45"/>
    <w:p>
      <w:pPr>
        <w:pStyle w:val="Heading1"/>
      </w:pPr>
      <w:r>
        <w:t xml:space="preserve">Research Proposal: Enhancing Primary Healthcare Delivery via General Practitioners in the United Arab Emirates Dubai Context</w:t>
      </w:r>
    </w:p>
    <w:bookmarkStart w:id="20" w:name="introduction-and-background"/>
    <w:p>
      <w:pPr>
        <w:pStyle w:val="Heading2"/>
      </w:pPr>
      <w:r>
        <w:t xml:space="preserve">1. Introduction and Background</w:t>
      </w:r>
    </w:p>
    <w:p>
      <w:pPr>
        <w:pStyle w:val="FirstParagraph"/>
      </w:pPr>
      <w:r>
        <w:t xml:space="preserve">The healthcare landscape of the United Arab Emirates (UAE), particularly in Dubai, is undergoing a transformative phase driven by Vision 2030 and the UAE Health Strategy 2031. These national initiatives prioritize accessible, high-quality primary care as the cornerstone of sustainable health systems. Central to this vision is the critical role of the</w:t>
      </w:r>
      <w:r>
        <w:t xml:space="preserve"> </w:t>
      </w:r>
      <w:r>
        <w:rPr>
          <w:iCs/>
          <w:i/>
        </w:rPr>
        <w:t xml:space="preserve">Doctor General Practitioner</w:t>
      </w:r>
      <w:r>
        <w:t xml:space="preserve"> </w:t>
      </w:r>
      <w:r>
        <w:t xml:space="preserve">(GP), who serves as the first point of contact for patients across diverse demographics in Dubai's rapidly growing population. Despite significant investments in specialized healthcare facilities, a persistent gap exists in robust primary care infrastructure, leading to overburdened emergency departments and fragmented patient pathways. This</w:t>
      </w:r>
      <w:r>
        <w:t xml:space="preserve"> </w:t>
      </w:r>
      <w:r>
        <w:rPr>
          <w:bCs/>
          <w:b/>
        </w:rPr>
        <w:t xml:space="preserve">Research Proposal</w:t>
      </w:r>
      <w:r>
        <w:t xml:space="preserve"> </w:t>
      </w:r>
      <w:r>
        <w:t xml:space="preserve">addresses this gap by examining the operational challenges, professional development needs, and systemic integration of GPs within Dubai's unique urban healthcare ecosystem.</w:t>
      </w:r>
    </w:p>
    <w:bookmarkEnd w:id="20"/>
    <w:bookmarkStart w:id="21" w:name="problem-statement"/>
    <w:p>
      <w:pPr>
        <w:pStyle w:val="Heading2"/>
      </w:pPr>
      <w:r>
        <w:t xml:space="preserve">2. Problem Statement</w:t>
      </w:r>
    </w:p>
    <w:p>
      <w:pPr>
        <w:pStyle w:val="FirstParagraph"/>
      </w:pPr>
      <w:r>
        <w:t xml:space="preserve">Dubai’s healthcare system faces dual pressures: a 6.5% annual population growth (Federal Competitiveness and Statistics Authority, 2023) and rising chronic disease burdens (diabetes at 18.4%, hypertension at 30.7% among adults). Current primary care delivery in the United Arab Emirates Dubai remains heavily reliant on hospital-based specialists rather than decentralized GP networks. Key issues include:</w:t>
      </w:r>
    </w:p>
    <w:p>
      <w:pPr>
        <w:numPr>
          <w:ilvl w:val="0"/>
          <w:numId w:val="1001"/>
        </w:numPr>
        <w:pStyle w:val="Compact"/>
      </w:pPr>
      <w:r>
        <w:t xml:space="preserve">Scarce GP availability (estimated 1 GP per 2,500 residents vs. WHO’s recommended 1:1,000)</w:t>
      </w:r>
    </w:p>
    <w:p>
      <w:pPr>
        <w:numPr>
          <w:ilvl w:val="0"/>
          <w:numId w:val="1001"/>
        </w:numPr>
        <w:pStyle w:val="Compact"/>
      </w:pPr>
      <w:r>
        <w:t xml:space="preserve">Limited scope of practice for GPs due to regulatory constraints</w:t>
      </w:r>
    </w:p>
    <w:p>
      <w:pPr>
        <w:numPr>
          <w:ilvl w:val="0"/>
          <w:numId w:val="1001"/>
        </w:numPr>
        <w:pStyle w:val="Compact"/>
      </w:pPr>
      <w:r>
        <w:t xml:space="preserve">Poor patient awareness of GP-led primary care pathways</w:t>
      </w:r>
    </w:p>
    <w:p>
      <w:pPr>
        <w:numPr>
          <w:ilvl w:val="0"/>
          <w:numId w:val="1001"/>
        </w:numPr>
        <w:pStyle w:val="Compact"/>
      </w:pPr>
      <w:r>
        <w:t xml:space="preserve">Fragmented data systems hindering coordinated care across public and private sectors</w:t>
      </w:r>
    </w:p>
    <w:p>
      <w:pPr>
        <w:pStyle w:val="FirstParagraph"/>
      </w:pPr>
      <w:r>
        <w:t xml:space="preserve">Without strategic intervention, Dubai risks exacerbating health inequities and inflating healthcare costs. This research directly tackles these challenges through a focused investigation of the</w:t>
      </w:r>
      <w:r>
        <w:t xml:space="preserve"> </w:t>
      </w:r>
      <w:r>
        <w:rPr>
          <w:iCs/>
          <w:i/>
        </w:rPr>
        <w:t xml:space="preserve">Doctor General Practitioner</w:t>
      </w:r>
      <w:r>
        <w:t xml:space="preserve">'s potential as an accelerator for efficient, patient-centered care in United Arab Emirates Dubai.</w:t>
      </w:r>
    </w:p>
    <w:bookmarkEnd w:id="21"/>
    <w:bookmarkStart w:id="22" w:name="X7579157a670aae32d5fd1aacc00f4eaed248782"/>
    <w:p>
      <w:pPr>
        <w:pStyle w:val="Heading2"/>
      </w:pPr>
      <w:r>
        <w:t xml:space="preserve">3. Literature Review: Global Context &amp; Local Relevance</w:t>
      </w:r>
    </w:p>
    <w:p>
      <w:pPr>
        <w:pStyle w:val="FirstParagraph"/>
      </w:pPr>
      <w:r>
        <w:t xml:space="preserve">International evidence demonstrates that strong primary care systems reduce hospitalizations by 15-20% and lower per capita costs (Wagner et al., 2018). The UK’s NHS model, where GPs act as "gatekeepers" to specialty care, achieves 37% lower healthcare expenditure per capita than the US. Gulf Cooperation Council (GCC) nations are increasingly adopting this framework: Saudi Arabia's Vision 2030 prioritizes GP expansion through its National Health Transformation Program. However, Dubai lacks context-specific research on GP integration despite its unique challenges—multilingual patient populations, high expatriate density (85% of residents), and a dual public-private healthcare market.</w:t>
      </w:r>
    </w:p>
    <w:p>
      <w:pPr>
        <w:pStyle w:val="BodyText"/>
      </w:pPr>
      <w:r>
        <w:t xml:space="preserve">Existing UAE studies focus narrowly on hospital outcomes (Al-Suwaidi et al., 2021) or physician shortages without examining the GP role. This proposal fills that void by centering the</w:t>
      </w:r>
      <w:r>
        <w:t xml:space="preserve"> </w:t>
      </w:r>
      <w:r>
        <w:rPr>
          <w:iCs/>
          <w:i/>
        </w:rPr>
        <w:t xml:space="preserve">Doctor General Practitioner</w:t>
      </w:r>
      <w:r>
        <w:t xml:space="preserve"> </w:t>
      </w:r>
      <w:r>
        <w:t xml:space="preserve">as both subject and solution within Dubai’s healthcare architecture.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model for optimizing GP utilization in Dubai through:</w:t>
      </w:r>
    </w:p>
    <w:p>
      <w:pPr>
        <w:numPr>
          <w:ilvl w:val="0"/>
          <w:numId w:val="1002"/>
        </w:numPr>
        <w:pStyle w:val="Compact"/>
      </w:pPr>
      <w:r>
        <w:rPr>
          <w:bCs/>
          <w:b/>
        </w:rPr>
        <w:t xml:space="preserve">To assess</w:t>
      </w:r>
      <w:r>
        <w:t xml:space="preserve"> </w:t>
      </w:r>
      <w:r>
        <w:t xml:space="preserve">the current workflow, professional autonomy, and patient satisfaction levels of GPs across Dubai’s public (e.g., SEHA facilities) and private sectors.</w:t>
      </w:r>
    </w:p>
    <w:p>
      <w:pPr>
        <w:numPr>
          <w:ilvl w:val="0"/>
          <w:numId w:val="1002"/>
        </w:numPr>
        <w:pStyle w:val="Compact"/>
      </w:pPr>
      <w:r>
        <w:rPr>
          <w:bCs/>
          <w:b/>
        </w:rPr>
        <w:t xml:space="preserve">To identify</w:t>
      </w:r>
      <w:r>
        <w:t xml:space="preserve"> </w:t>
      </w:r>
      <w:r>
        <w:t xml:space="preserve">regulatory barriers (licensure, referral protocols) impeding GP effectiveness in United Arab Emirates Dubai.</w:t>
      </w:r>
    </w:p>
    <w:p>
      <w:pPr>
        <w:numPr>
          <w:ilvl w:val="0"/>
          <w:numId w:val="1002"/>
        </w:numPr>
        <w:pStyle w:val="Compact"/>
      </w:pPr>
      <w:r>
        <w:rPr>
          <w:bCs/>
          <w:b/>
        </w:rPr>
        <w:t xml:space="preserve">To co-design</w:t>
      </w:r>
      <w:r>
        <w:t xml:space="preserve"> </w:t>
      </w:r>
      <w:r>
        <w:t xml:space="preserve">a competency framework for GPs addressing Dubai’s specific needs (e.g., managing migrant health syndromes, digital literacy).</w:t>
      </w:r>
    </w:p>
    <w:p>
      <w:pPr>
        <w:numPr>
          <w:ilvl w:val="0"/>
          <w:numId w:val="1002"/>
        </w:numPr>
        <w:pStyle w:val="Compact"/>
      </w:pPr>
      <w:r>
        <w:rPr>
          <w:bCs/>
          <w:b/>
        </w:rPr>
        <w:t xml:space="preserve">To evaluate</w:t>
      </w:r>
      <w:r>
        <w:t xml:space="preserve"> </w:t>
      </w:r>
      <w:r>
        <w:t xml:space="preserve">the cost-effectiveness of GP-led primary care networks versus current specialist-centric models.</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over 18 months:</w:t>
      </w:r>
    </w:p>
    <w:p>
      <w:pPr>
        <w:numPr>
          <w:ilvl w:val="0"/>
          <w:numId w:val="1003"/>
        </w:numPr>
        <w:pStyle w:val="Compact"/>
      </w:pPr>
      <w:r>
        <w:rPr>
          <w:bCs/>
          <w:b/>
        </w:rPr>
        <w:t xml:space="preserve">Phase 1 (Quantitative):</w:t>
      </w:r>
      <w:r>
        <w:t xml:space="preserve"> </w:t>
      </w:r>
      <w:r>
        <w:t xml:space="preserve">Surveys of 300+ GPs across Dubai (stratified by sector, experience, and emirate), analyzing practice patterns using standardized WHO primary care metrics.</w:t>
      </w:r>
    </w:p>
    <w:p>
      <w:pPr>
        <w:numPr>
          <w:ilvl w:val="0"/>
          <w:numId w:val="1003"/>
        </w:numPr>
        <w:pStyle w:val="Compact"/>
      </w:pPr>
      <w:r>
        <w:rPr>
          <w:bCs/>
          <w:b/>
        </w:rPr>
        <w:t xml:space="preserve">Phase 2 (Qualitative):</w:t>
      </w:r>
      <w:r>
        <w:t xml:space="preserve"> </w:t>
      </w:r>
      <w:r>
        <w:t xml:space="preserve">In-depth interviews with 45 stakeholders: GPs, Ministry of Health officials (MOHAP), hospital administrators, and patient focus groups to capture contextual nuances.</w:t>
      </w:r>
    </w:p>
    <w:p>
      <w:pPr>
        <w:numPr>
          <w:ilvl w:val="0"/>
          <w:numId w:val="1003"/>
        </w:numPr>
        <w:pStyle w:val="Compact"/>
      </w:pPr>
      <w:r>
        <w:rPr>
          <w:bCs/>
          <w:b/>
        </w:rPr>
        <w:t xml:space="preserve">Phase 3 (Integration):</w:t>
      </w:r>
      <w:r>
        <w:t xml:space="preserve"> </w:t>
      </w:r>
      <w:r>
        <w:t xml:space="preserve">Co-creation workshops with Dubai Healthcare City Authority to translate findings into policy recommendations. Data triangulation will ensure validity within UAE cultural frameworks.</w:t>
      </w:r>
    </w:p>
    <w:p>
      <w:pPr>
        <w:pStyle w:val="FirstParagraph"/>
      </w:pPr>
      <w:r>
        <w:t xml:space="preserve">All protocols align with UAE ethics guidelines (Dubai Health Authority, 2022) and include patient consent procedures in Arabic/English/Urdu/Hindi to respect Dubai’s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comprehensive report on GP workflow inefficiencies and patient journey mapping specific to United Arab Emirates Dubai</w:t>
      </w:r>
    </w:p>
    <w:p>
      <w:pPr>
        <w:numPr>
          <w:ilvl w:val="0"/>
          <w:numId w:val="1004"/>
        </w:numPr>
        <w:pStyle w:val="Compact"/>
      </w:pPr>
      <w:r>
        <w:t xml:space="preserve">A validated GP competency framework incorporating Emirati cultural competencies (e.g., religious considerations in care, family-centered consultations)</w:t>
      </w:r>
    </w:p>
    <w:p>
      <w:pPr>
        <w:numPr>
          <w:ilvl w:val="0"/>
          <w:numId w:val="1004"/>
        </w:numPr>
        <w:pStyle w:val="Compact"/>
      </w:pPr>
      <w:r>
        <w:t xml:space="preserve">Policy briefs for Dubai Health Authority proposing streamlined referral systems and expanded clinical autonomy for GPs</w:t>
      </w:r>
    </w:p>
    <w:p>
      <w:pPr>
        <w:numPr>
          <w:ilvl w:val="0"/>
          <w:numId w:val="1004"/>
        </w:numPr>
        <w:pStyle w:val="Compact"/>
      </w:pPr>
      <w:r>
        <w:t xml:space="preserve">An evidence-based cost-benefit analysis demonstrating ROI of primary care investment</w:t>
      </w:r>
    </w:p>
    <w:p>
      <w:pPr>
        <w:pStyle w:val="FirstParagraph"/>
      </w:pPr>
      <w:r>
        <w:t xml:space="preserve">The significance extends beyond academia: Successful implementation could reduce Dubai’s emergency department visits by 25% (modeled from Saudi case studies), directly supporting UAE Vision 2031 goals. For the</w:t>
      </w:r>
      <w:r>
        <w:t xml:space="preserve"> </w:t>
      </w:r>
      <w:r>
        <w:rPr>
          <w:iCs/>
          <w:i/>
        </w:rPr>
        <w:t xml:space="preserve">Doctor General Practitioner</w:t>
      </w:r>
      <w:r>
        <w:t xml:space="preserve">, this elevates their status from "referral conduit" to "health navigator," enhancing professional satisfaction and retention in Dubai’s competitive medical market.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Approved Ethics Protocol, Survey Instrument</w:t>
      </w:r>
    </w:p>
    <w:p>
      <w:pPr>
        <w:pStyle w:val="BodyText"/>
      </w:pPr>
      <w:r>
        <w:t xml:space="preserve">Data Collection (Quantitative)</w:t>
      </w:r>
    </w:p>
    <w:p>
      <w:pPr>
        <w:pStyle w:val="BodyText"/>
      </w:pPr>
      <w:r>
        <w:t xml:space="preserve">Months 4-7</w:t>
      </w:r>
    </w:p>
    <w:p>
      <w:pPr>
        <w:pStyle w:val="BodyText"/>
      </w:pPr>
      <w:r>
        <w:t xml:space="preserve">Survey Dataset (n=300+)</w:t>
      </w:r>
    </w:p>
    <w:p>
      <w:pPr>
        <w:pStyle w:val="BodyText"/>
      </w:pPr>
      <w:r>
        <w:t xml:space="preserve">Data Collection (Qualitative)</w:t>
      </w:r>
    </w:p>
    <w:p>
      <w:pPr>
        <w:pStyle w:val="BodyText"/>
      </w:pPr>
      <w:r>
        <w:t xml:space="preserve">Months 8-12</w:t>
      </w:r>
    </w:p>
    <w:p>
      <w:pPr>
        <w:pStyle w:val="BodyText"/>
      </w:pPr>
      <w:r>
        <w:t xml:space="preserve">Coding of Interview Transcripts, Patient Journey Maps</w:t>
      </w:r>
    </w:p>
    <w:p>
      <w:pPr>
        <w:pStyle w:val="BodyText"/>
      </w:pPr>
      <w:r>
        <w:t xml:space="preserve">Co-Creation &amp; Analysis</w:t>
      </w:r>
    </w:p>
    <w:p>
      <w:pPr>
        <w:pStyle w:val="BodyText"/>
      </w:pPr>
      <w:r>
        <w:t xml:space="preserve">Months 13-15</w:t>
      </w:r>
    </w:p>
    <w:p>
      <w:pPr>
        <w:pStyle w:val="BodyText"/>
      </w:pPr>
      <w:r>
        <w:t xml:space="preserve">Competency Framework Draft, Cost-Benefit Model</w:t>
      </w:r>
    </w:p>
    <w:p>
      <w:pPr>
        <w:pStyle w:val="BodyText"/>
      </w:pPr>
      <w:r>
        <w:t xml:space="preserve">Presentation &amp; Policy Submission</w:t>
      </w:r>
    </w:p>
    <w:p>
      <w:pPr>
        <w:pStyle w:val="BodyText"/>
      </w:pPr>
      <w:r>
        <w:t xml:space="preserve">Final Report to Dubai Health Authority (DHA)</w:t>
      </w:r>
    </w:p>
    <w:bookmarkEnd w:id="26"/>
    <w:bookmarkStart w:id="27" w:name="Xbf62fdbb22e619019aa349b4d45ecbbbf1b0477"/>
    <w:p>
      <w:pPr>
        <w:pStyle w:val="Heading2"/>
      </w:pPr>
      <w:r>
        <w:t xml:space="preserve">8. Conclusion: Strategic Alignment with UAE Vision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iCs/>
          <w:i/>
        </w:rPr>
        <w:t xml:space="preserve">Doctor General Practitioner</w:t>
      </w:r>
      <w:r>
        <w:t xml:space="preserve"> </w:t>
      </w:r>
      <w:r>
        <w:t xml:space="preserve">as a strategic asset for Dubai’s healthcare evolution. By grounding findings in Dubai’s socioeconomic realities—addressing its expatriate workforce dynamics, multicultural patient base, and ambitious digital health initiatives (e.g., Dubai Health Strategy 2031)—this research directly contributes to the United Arab Emirates’ vision of becoming a global leader in patient-centric care. The proposed model ensures GPs are not merely service providers but architects of sustainable primary care ecosystems. Ultimately, this work will empower Dubai’s</w:t>
      </w:r>
      <w:r>
        <w:t xml:space="preserve"> </w:t>
      </w:r>
      <w:r>
        <w:rPr>
          <w:iCs/>
          <w:i/>
        </w:rPr>
        <w:t xml:space="preserve">Doctor General Practitioner</w:t>
      </w:r>
      <w:r>
        <w:t xml:space="preserve"> </w:t>
      </w:r>
      <w:r>
        <w:t xml:space="preserve">to drive preventive health, reduce disparities, and build a resilient healthcare system worthy of the UAE's international standing.</w:t>
      </w:r>
    </w:p>
    <w:bookmarkEnd w:id="27"/>
    <w:bookmarkStart w:id="28" w:name="references-selected"/>
    <w:p>
      <w:pPr>
        <w:pStyle w:val="Heading2"/>
      </w:pPr>
      <w:r>
        <w:t xml:space="preserve">9. References (Selected)</w:t>
      </w:r>
    </w:p>
    <w:p>
      <w:pPr>
        <w:numPr>
          <w:ilvl w:val="0"/>
          <w:numId w:val="1005"/>
        </w:numPr>
        <w:pStyle w:val="Compact"/>
      </w:pPr>
      <w:r>
        <w:t xml:space="preserve">Al-Suwaidi, J. et al. (2021). Primary Care in the UAE: A Systematic Review. *Journal of Family Medicine*, 34(5), 78-89.</w:t>
      </w:r>
    </w:p>
    <w:p>
      <w:pPr>
        <w:numPr>
          <w:ilvl w:val="0"/>
          <w:numId w:val="1005"/>
        </w:numPr>
        <w:pStyle w:val="Compact"/>
      </w:pPr>
      <w:r>
        <w:t xml:space="preserve">Dubai Health Authority (DHA). (2022). *Ethical Guidelines for Health Research*. Dubai, UAE.</w:t>
      </w:r>
    </w:p>
    <w:p>
      <w:pPr>
        <w:numPr>
          <w:ilvl w:val="0"/>
          <w:numId w:val="1005"/>
        </w:numPr>
        <w:pStyle w:val="Compact"/>
      </w:pPr>
      <w:r>
        <w:t xml:space="preserve">Wagner, E. H. et al. (2018). *Primary Care Transformation: Lessons from the U.S., UK, and Europe*. Milbank Quarterly.</w:t>
      </w:r>
    </w:p>
    <w:p>
      <w:pPr>
        <w:numPr>
          <w:ilvl w:val="0"/>
          <w:numId w:val="1005"/>
        </w:numPr>
        <w:pStyle w:val="Compact"/>
      </w:pPr>
      <w:r>
        <w:t xml:space="preserve">UAE Ministry of Health &amp; Prevention (MOHAP). (2023). *Health Strategy 2031: Vision for a Healthy Nation*. Abu Dhabi.</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Primary Care Through General Practitioners in United Arab Emirates Dubai</dc:title>
  <dc:creator/>
  <dc:language>en</dc:language>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