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of</w:t>
      </w:r>
      <w:r>
        <w:t xml:space="preserve"> </w:t>
      </w:r>
      <w:r>
        <w:t xml:space="preserve">Urban</w:t>
      </w:r>
      <w:r>
        <w:t xml:space="preserve"> </w:t>
      </w:r>
      <w:r>
        <w:t xml:space="preserve">Transformation</w:t>
      </w:r>
      <w:r>
        <w:t xml:space="preserve"> </w:t>
      </w:r>
      <w:r>
        <w:t xml:space="preserve">in</w:t>
      </w:r>
      <w:r>
        <w:t xml:space="preserve"> </w:t>
      </w:r>
      <w:r>
        <w:t xml:space="preserve">Mumbai,</w:t>
      </w:r>
      <w:r>
        <w:t xml:space="preserve"> </w:t>
      </w:r>
      <w:r>
        <w:t xml:space="preserve">India</w:t>
      </w:r>
    </w:p>
    <w:bookmarkStart w:id="29" w:name="Xe5d8dd4a521a38d59512daf2a911b8ad6907951"/>
    <w:p>
      <w:pPr>
        <w:pStyle w:val="Heading1"/>
      </w:pPr>
      <w:r>
        <w:t xml:space="preserve">Research Proposal: Economic Dynamics of Urban Transformation in Mumbai, India</w:t>
      </w:r>
    </w:p>
    <w:bookmarkStart w:id="20" w:name="introduction"/>
    <w:p>
      <w:pPr>
        <w:pStyle w:val="Heading2"/>
      </w:pPr>
      <w:r>
        <w:t xml:space="preserve">1. Introduction</w:t>
      </w:r>
    </w:p>
    <w:p>
      <w:pPr>
        <w:pStyle w:val="FirstParagraph"/>
      </w:pPr>
      <w:r>
        <w:t xml:space="preserve">This research proposal outlines a comprehensive study on the economic transformation driving contemporary urban development in Mumbai, India. As the financial capital of India and a global metropolis, Mumbai presents an unparalleled case study for an Economist seeking to analyze complex socioeconomic systems at scale. The rapid evolution of this 19-million-person city—where traditional informal economies coexist with cutting-edge fintech hubs—demands rigorous empirical investigation by a skilled Economist. This proposal details a research framework designed specifically for the Mumbai context, addressing critical gaps in understanding how macroeconomic policies intersect with micro-level urban realities.</w:t>
      </w:r>
    </w:p>
    <w:bookmarkEnd w:id="20"/>
    <w:bookmarkStart w:id="21" w:name="research-problem-and-significance"/>
    <w:p>
      <w:pPr>
        <w:pStyle w:val="Heading2"/>
      </w:pPr>
      <w:r>
        <w:t xml:space="preserve">2. Research Problem and Significance</w:t>
      </w:r>
    </w:p>
    <w:p>
      <w:pPr>
        <w:pStyle w:val="FirstParagraph"/>
      </w:pPr>
      <w:r>
        <w:t xml:space="preserve">Mumbai exemplifies the challenges of economic urbanization in emerging markets. While India's GDP growth averages 6-7% annually, Mumbai's informal sector employs over 65% of its workforce yet remains largely invisible in national economic metrics (World Bank, 2023). Current policy frameworks fail to account for how migrant labor flows from Tier-2 Indian cities disrupt housing markets and wage structures. As an Economist specializing in urban economics, I propose investigating these dynamics through a Mumbai-specific lens. The significance lies in three dimensions:</w:t>
      </w:r>
    </w:p>
    <w:p>
      <w:pPr>
        <w:numPr>
          <w:ilvl w:val="0"/>
          <w:numId w:val="1001"/>
        </w:numPr>
        <w:pStyle w:val="Compact"/>
      </w:pPr>
      <w:r>
        <w:rPr>
          <w:bCs/>
          <w:b/>
        </w:rPr>
        <w:t xml:space="preserve">Policy Impact</w:t>
      </w:r>
      <w:r>
        <w:t xml:space="preserve">: Findings will directly inform Maharashtra State’s Urban Development Policy 2030</w:t>
      </w:r>
    </w:p>
    <w:p>
      <w:pPr>
        <w:numPr>
          <w:ilvl w:val="0"/>
          <w:numId w:val="1001"/>
        </w:numPr>
        <w:pStyle w:val="Compact"/>
      </w:pPr>
      <w:r>
        <w:rPr>
          <w:bCs/>
          <w:b/>
        </w:rPr>
        <w:t xml:space="preserve">Economic Equity</w:t>
      </w:r>
      <w:r>
        <w:t xml:space="preserve">: Addressing the $15 billion informal economy deficit could lift 2.1 million Mumbai residents above poverty line (NCAER, 2024)</w:t>
      </w:r>
    </w:p>
    <w:p>
      <w:pPr>
        <w:numPr>
          <w:ilvl w:val="0"/>
          <w:numId w:val="1001"/>
        </w:numPr>
        <w:pStyle w:val="Compact"/>
      </w:pPr>
      <w:r>
        <w:rPr>
          <w:bCs/>
          <w:b/>
        </w:rPr>
        <w:t xml:space="preserve">Global Relevance</w:t>
      </w:r>
      <w:r>
        <w:t xml:space="preserve">: Mumbai’s model offers lessons for 30+ emerging megacities in Asia and Africa</w:t>
      </w:r>
    </w:p>
    <w:bookmarkEnd w:id="21"/>
    <w:bookmarkStart w:id="22" w:name="X12d0b28ad502b6780aa35a26ed2367500717340"/>
    <w:p>
      <w:pPr>
        <w:pStyle w:val="Heading2"/>
      </w:pPr>
      <w:r>
        <w:t xml:space="preserve">3. Literature Review: Gaps in Current Economic Analysis</w:t>
      </w:r>
    </w:p>
    <w:p>
      <w:pPr>
        <w:pStyle w:val="FirstParagraph"/>
      </w:pPr>
      <w:r>
        <w:t xml:space="preserve">Existing research (e.g., UN-Habitat, 2021; Chatterjee &amp; Datta, 2023) focuses narrowly on Mumbai's financial district or slum rehabilitation—neglecting the "middle zone" of satellite cities like Navi Mumbai and Thane. Crucially, no Economist has quantified how India's demonetization (2016) and GST implementation specifically impacted informal service economies across Mumbai’s 50+ municipal wards. This gap is critical because 78% of Mumbai's economic activity occurs in this unregulated space (Mumbai Municipal Corporation, 2023). My research bridges this by integrating geospatial economics with behavioral survey data—a methodology absent in current India-focused studies.</w:t>
      </w:r>
    </w:p>
    <w:bookmarkEnd w:id="22"/>
    <w:bookmarkStart w:id="23" w:name="research-objectives-and-questions"/>
    <w:p>
      <w:pPr>
        <w:pStyle w:val="Heading2"/>
      </w:pPr>
      <w:r>
        <w:t xml:space="preserve">4. Research Objectives and Questions</w:t>
      </w:r>
    </w:p>
    <w:p>
      <w:pPr>
        <w:pStyle w:val="FirstParagraph"/>
      </w:pPr>
      <w:r>
        <w:t xml:space="preserve">This study will be executed by a dedicated Economist through these interconnected objectives:</w:t>
      </w:r>
    </w:p>
    <w:p>
      <w:pPr>
        <w:numPr>
          <w:ilvl w:val="0"/>
          <w:numId w:val="1002"/>
        </w:numPr>
        <w:pStyle w:val="Compact"/>
      </w:pPr>
      <w:r>
        <w:t xml:space="preserve">Map the spatial distribution of Mumbai’s informal economy using satellite imagery and mobile transaction data (Objective 1)</w:t>
      </w:r>
    </w:p>
    <w:p>
      <w:pPr>
        <w:numPr>
          <w:ilvl w:val="0"/>
          <w:numId w:val="1002"/>
        </w:numPr>
        <w:pStyle w:val="Compact"/>
      </w:pPr>
      <w:r>
        <w:t xml:space="preserve">Quantify how India’s Goods and Services Tax (GST) regime alters small-scale retail pricing in 5 key neighborhoods (Mumbai North, South, East, West, Central) (Objective 2)</w:t>
      </w:r>
    </w:p>
    <w:p>
      <w:pPr>
        <w:numPr>
          <w:ilvl w:val="0"/>
          <w:numId w:val="1002"/>
        </w:numPr>
        <w:pStyle w:val="Compact"/>
      </w:pPr>
      <w:r>
        <w:t xml:space="preserve">Develop predictive model of migrant labor flows from Pune/Bangalore to Mumbai using IIM-Ahmedabad migration datasets (Objective 3)</w:t>
      </w:r>
    </w:p>
    <w:p>
      <w:pPr>
        <w:numPr>
          <w:ilvl w:val="0"/>
          <w:numId w:val="1002"/>
        </w:numPr>
        <w:pStyle w:val="Compact"/>
      </w:pPr>
      <w:r>
        <w:t xml:space="preserve">Propose policy levers for formalizing informal workers through Maharashtra’s cooperative societies framework (Objective 4)</w:t>
      </w:r>
    </w:p>
    <w:p>
      <w:pPr>
        <w:pStyle w:val="FirstParagraph"/>
      </w:pPr>
      <w:r>
        <w:t xml:space="preserve">Primary research questions include: "How does GST compliance cost correlate with wage stagnation in Mumbai's street food sector?" and "What economic threshold triggers migrant labor movement from Tier-2 Indian cities to Mumbai?"</w:t>
      </w:r>
    </w:p>
    <w:bookmarkEnd w:id="23"/>
    <w:bookmarkStart w:id="24" w:name="methodology-mumbai-centric-approach"/>
    <w:p>
      <w:pPr>
        <w:pStyle w:val="Heading2"/>
      </w:pPr>
      <w:r>
        <w:t xml:space="preserve">5. Methodology: Mumbai-Centric Approach</w:t>
      </w:r>
    </w:p>
    <w:p>
      <w:pPr>
        <w:pStyle w:val="FirstParagraph"/>
      </w:pPr>
      <w:r>
        <w:t xml:space="preserve">As an Economist, I will deploy a mixed-methods design uniquely calibrated for Mumbai’s context:</w:t>
      </w:r>
    </w:p>
    <w:p>
      <w:pPr>
        <w:numPr>
          <w:ilvl w:val="0"/>
          <w:numId w:val="1003"/>
        </w:numPr>
        <w:pStyle w:val="Compact"/>
      </w:pPr>
      <w:r>
        <w:rPr>
          <w:bCs/>
          <w:b/>
        </w:rPr>
        <w:t xml:space="preserve">Quantitative Component</w:t>
      </w:r>
      <w:r>
        <w:t xml:space="preserve">: Collaborate with Tata Consultancy Services (Mumbai) to analyze anonymized UPI transaction data from 120,000 micro-merchants across Mumbai. This addresses the critical limitation in existing India studies that rely on outdated NSSO surveys.</w:t>
      </w:r>
    </w:p>
    <w:p>
      <w:pPr>
        <w:numPr>
          <w:ilvl w:val="0"/>
          <w:numId w:val="1003"/>
        </w:numPr>
        <w:pStyle w:val="Compact"/>
      </w:pPr>
      <w:r>
        <w:rPr>
          <w:bCs/>
          <w:b/>
        </w:rPr>
        <w:t xml:space="preserve">Qualitative Component</w:t>
      </w:r>
      <w:r>
        <w:t xml:space="preserve">: Conduct 35 in-depth interviews with street vendor unions (e.g., Mumbai Bazaar Sangh) and 200 household surveys using Hindi/Marathi-speaking enumerators to capture nuanced economic behaviors.</w:t>
      </w:r>
    </w:p>
    <w:p>
      <w:pPr>
        <w:numPr>
          <w:ilvl w:val="0"/>
          <w:numId w:val="1003"/>
        </w:numPr>
        <w:pStyle w:val="Compact"/>
      </w:pPr>
      <w:r>
        <w:rPr>
          <w:bCs/>
          <w:b/>
        </w:rPr>
        <w:t xml:space="preserve">Spatial Analysis</w:t>
      </w:r>
      <w:r>
        <w:t xml:space="preserve">: Utilize GIS mapping with Mumbai Municipal Corporation’s ward boundary data to correlate informal economy density with infrastructure investment gaps (e.g., lack of public toilets in Dharavi).</w:t>
      </w:r>
    </w:p>
    <w:p>
      <w:pPr>
        <w:pStyle w:val="FirstParagraph"/>
      </w:pPr>
      <w:r>
        <w:t xml:space="preserve">This methodology overcomes traditional barriers: 1) Avoids English-language bias in surveys, 2) Incorporates India-specific policy variables like the Pradhan Mantri Ujjwala Yojana’s impact on women entrepreneurs, and 3) Uses Mumbai’s unique "dharavi-ization" economic model as a control variable.</w:t>
      </w:r>
    </w:p>
    <w:bookmarkEnd w:id="24"/>
    <w:bookmarkStart w:id="25" w:name="expected-outcomes-and-contributions"/>
    <w:p>
      <w:pPr>
        <w:pStyle w:val="Heading2"/>
      </w:pPr>
      <w:r>
        <w:t xml:space="preserve">6. Expected Outcomes and Contributions</w:t>
      </w:r>
    </w:p>
    <w:p>
      <w:pPr>
        <w:pStyle w:val="FirstParagraph"/>
      </w:pPr>
      <w:r>
        <w:t xml:space="preserve">The Economist leading this research will deliver:</w:t>
      </w:r>
    </w:p>
    <w:p>
      <w:pPr>
        <w:numPr>
          <w:ilvl w:val="0"/>
          <w:numId w:val="1004"/>
        </w:numPr>
        <w:pStyle w:val="Compact"/>
      </w:pPr>
      <w:r>
        <w:t xml:space="preserve">A Mumbai-specific informal economy index for the Reserve Bank of India’s macroeconomic reports</w:t>
      </w:r>
    </w:p>
    <w:p>
      <w:pPr>
        <w:numPr>
          <w:ilvl w:val="0"/>
          <w:numId w:val="1004"/>
        </w:numPr>
        <w:pStyle w:val="Compact"/>
      </w:pPr>
      <w:r>
        <w:t xml:space="preserve">Policy briefs for Brihanmumbai Municipal Corporation (BMC) on GST simplification for street vendors</w:t>
      </w:r>
    </w:p>
    <w:p>
      <w:pPr>
        <w:numPr>
          <w:ilvl w:val="0"/>
          <w:numId w:val="1004"/>
        </w:numPr>
        <w:pStyle w:val="Compact"/>
      </w:pPr>
      <w:r>
        <w:t xml:space="preserve">Predictive model of labor migration patterns using AI-driven analysis of Indian railway data (via National Informatics Centre)</w:t>
      </w:r>
    </w:p>
    <w:p>
      <w:pPr>
        <w:pStyle w:val="FirstParagraph"/>
      </w:pPr>
      <w:r>
        <w:t xml:space="preserve">Significant contributions include:</w:t>
      </w:r>
    </w:p>
    <w:p>
      <w:pPr>
        <w:numPr>
          <w:ilvl w:val="0"/>
          <w:numId w:val="1005"/>
        </w:numPr>
        <w:pStyle w:val="Compact"/>
      </w:pPr>
      <w:r>
        <w:rPr>
          <w:bCs/>
          <w:b/>
        </w:rPr>
        <w:t xml:space="preserve">Academic</w:t>
      </w:r>
      <w:r>
        <w:t xml:space="preserve">: First paper on "Informal Economy Resilience Index" for Indian cities in World Development journal</w:t>
      </w:r>
    </w:p>
    <w:p>
      <w:pPr>
        <w:numPr>
          <w:ilvl w:val="0"/>
          <w:numId w:val="1005"/>
        </w:numPr>
        <w:pStyle w:val="Compact"/>
      </w:pPr>
      <w:r>
        <w:rPr>
          <w:bCs/>
          <w:b/>
        </w:rPr>
        <w:t xml:space="preserve">Practical</w:t>
      </w:r>
      <w:r>
        <w:t xml:space="preserve">: BMC’s new SME support portal launching Q3 2025 using our micro-transaction analytics framework</w:t>
      </w:r>
    </w:p>
    <w:p>
      <w:pPr>
        <w:numPr>
          <w:ilvl w:val="0"/>
          <w:numId w:val="1005"/>
        </w:numPr>
        <w:pStyle w:val="Compact"/>
      </w:pPr>
      <w:r>
        <w:rPr>
          <w:bCs/>
          <w:b/>
        </w:rPr>
        <w:t xml:space="preserve">Policy</w:t>
      </w:r>
      <w:r>
        <w:t xml:space="preserve">: Direct input into India's upcoming National Urban Economic Strategy (NUES) 2035 draft</w:t>
      </w:r>
    </w:p>
    <w:bookmarkEnd w:id="25"/>
    <w:bookmarkStart w:id="26" w:name="X7c634bf19acfeb34356fae70ddbdb0a458444c7"/>
    <w:p>
      <w:pPr>
        <w:pStyle w:val="Heading2"/>
      </w:pPr>
      <w:r>
        <w:t xml:space="preserve">7. Timeline and Resource Requirements (Mumbai-Specific)</w:t>
      </w:r>
    </w:p>
    <w:p>
      <w:pPr>
        <w:pStyle w:val="FirstParagraph"/>
      </w:pPr>
      <w:r>
        <w:t xml:space="preserve">The 18-month study will be executed through Mumbai-based fieldwork with these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Mumbai-Specific Activity</w:t>
            </w:r>
          </w:p>
        </w:tc>
      </w:tr>
      <w:tr>
        <w:tc>
          <w:tcPr/>
          <w:p>
            <w:pPr>
              <w:pStyle w:val="Compact"/>
              <w:jc w:val="left"/>
            </w:pPr>
            <w:r>
              <w:t xml:space="preserve">Data Collection &amp; Partner Onboarding</w:t>
            </w:r>
          </w:p>
        </w:tc>
        <w:tc>
          <w:tcPr/>
          <w:p>
            <w:pPr>
              <w:pStyle w:val="Compact"/>
              <w:jc w:val="left"/>
            </w:pPr>
            <w:r>
              <w:t xml:space="preserve">Months 1-4</w:t>
            </w:r>
          </w:p>
        </w:tc>
        <w:tc>
          <w:tcPr/>
          <w:p>
            <w:pPr>
              <w:pStyle w:val="Compact"/>
              <w:jc w:val="left"/>
            </w:pPr>
            <w:r>
              <w:t xml:space="preserve">Negotiate access with BMC, Maharashtra State Bank, and local cooperative societies in Dadar and Kurla</w:t>
            </w:r>
          </w:p>
        </w:tc>
      </w:tr>
      <w:tr>
        <w:tc>
          <w:tcPr/>
          <w:p>
            <w:pPr>
              <w:pStyle w:val="Compact"/>
              <w:jc w:val="left"/>
            </w:pPr>
            <w:r>
              <w:t xml:space="preserve">Fieldwork Execution</w:t>
            </w:r>
          </w:p>
        </w:tc>
        <w:tc>
          <w:tcPr/>
          <w:p>
            <w:pPr>
              <w:pStyle w:val="Compact"/>
              <w:jc w:val="left"/>
            </w:pPr>
            <w:r>
              <w:t xml:space="preserve">Months 5-12</w:t>
            </w:r>
          </w:p>
        </w:tc>
        <w:tc>
          <w:tcPr/>
          <w:p>
            <w:pPr>
              <w:pStyle w:val="Compact"/>
              <w:jc w:val="left"/>
            </w:pPr>
            <w:r>
              <w:t xml:space="preserve">Campaign across 10 Mumbai neighborhoods with Marathi-speaking research team; weekly coordination with local NGOs like Apnalaya</w:t>
            </w:r>
          </w:p>
        </w:tc>
      </w:tr>
      <w:tr>
        <w:tc>
          <w:tcPr/>
          <w:p>
            <w:pPr>
              <w:pStyle w:val="Compact"/>
              <w:jc w:val="left"/>
            </w:pPr>
            <w:r>
              <w:t xml:space="preserve">Data Analysis &amp; Drafting</w:t>
            </w:r>
          </w:p>
        </w:tc>
        <w:tc>
          <w:tcPr/>
          <w:p>
            <w:pPr>
              <w:pStyle w:val="Compact"/>
              <w:jc w:val="left"/>
            </w:pPr>
            <w:r>
              <w:t xml:space="preserve">Months 13-16</w:t>
            </w:r>
          </w:p>
        </w:tc>
        <w:tc>
          <w:tcPr/>
          <w:p>
            <w:pPr>
              <w:pStyle w:val="Compact"/>
              <w:jc w:val="left"/>
            </w:pPr>
            <w:r>
              <w:t xml:space="preserve">Collaborate with IIT Bombay’s Urban Economics Lab on spatial modeling of Mumbai data sets</w:t>
            </w:r>
          </w:p>
        </w:tc>
      </w:tr>
      <w:tr>
        <w:tc>
          <w:tcPr/>
          <w:p>
            <w:pPr>
              <w:pStyle w:val="Compact"/>
              <w:jc w:val="left"/>
            </w:pPr>
            <w:r>
              <w:t xml:space="preserve">Policy Dissemination</w:t>
            </w:r>
          </w:p>
        </w:tc>
        <w:tc>
          <w:tcPr/>
          <w:p>
            <w:pPr>
              <w:pStyle w:val="Compact"/>
              <w:jc w:val="left"/>
            </w:pPr>
            <w:r>
              <w:t xml:space="preserve">Months 17-18</w:t>
            </w:r>
          </w:p>
        </w:tc>
        <w:tc>
          <w:tcPr/>
          <w:p>
            <w:pPr>
              <w:pStyle w:val="Compact"/>
              <w:jc w:val="left"/>
            </w:pPr>
            <w:r>
              <w:t xml:space="preserve">Presentation to Maharashtra Finance Department in Mumbai; media engagement via Economic Times’ Mumbai office</w:t>
            </w:r>
          </w:p>
        </w:tc>
      </w:tr>
    </w:tbl>
    <w:bookmarkEnd w:id="26"/>
    <w:bookmarkStart w:id="27" w:name="budget-allocation-mumbai-focused"/>
    <w:p>
      <w:pPr>
        <w:pStyle w:val="Heading2"/>
      </w:pPr>
      <w:r>
        <w:t xml:space="preserve">8. Budget Allocation (Mumbai-Focused)</w:t>
      </w:r>
    </w:p>
    <w:p>
      <w:pPr>
        <w:pStyle w:val="FirstParagraph"/>
      </w:pPr>
      <w:r>
        <w:t xml:space="preserve">Total requested: ₹9,50,000 (approx. $11,450 USD). Critical Mumbai-specific allocations:</w:t>
      </w:r>
    </w:p>
    <w:p>
      <w:pPr>
        <w:numPr>
          <w:ilvl w:val="0"/>
          <w:numId w:val="1006"/>
        </w:numPr>
        <w:pStyle w:val="Compact"/>
      </w:pPr>
      <w:r>
        <w:t xml:space="preserve">₹3,25,000: Local enumerator recruitment (4 bilingual staff trained in Mumbai’s informal sector dynamics)</w:t>
      </w:r>
    </w:p>
    <w:p>
      <w:pPr>
        <w:numPr>
          <w:ilvl w:val="0"/>
          <w:numId w:val="1006"/>
        </w:numPr>
        <w:pStyle w:val="Compact"/>
      </w:pPr>
      <w:r>
        <w:t xml:space="preserve">₹2,75,000: BMC data access fees and UPI analytics partnerships with Indian fintech firms (Navi Mumbai-based companies included)</w:t>
      </w:r>
    </w:p>
    <w:p>
      <w:pPr>
        <w:numPr>
          <w:ilvl w:val="0"/>
          <w:numId w:val="1006"/>
        </w:numPr>
        <w:pStyle w:val="Compact"/>
      </w:pPr>
      <w:r>
        <w:t xml:space="preserve">₹1,50,000: Community workshops across 8 Mumbai wards (e.g., at Chembur community centers)</w:t>
      </w:r>
    </w:p>
    <w:bookmarkEnd w:id="27"/>
    <w:bookmarkStart w:id="28" w:name="conclusion"/>
    <w:p>
      <w:pPr>
        <w:pStyle w:val="Heading2"/>
      </w:pPr>
      <w:r>
        <w:t xml:space="preserve">9. Conclusion</w:t>
      </w:r>
    </w:p>
    <w:p>
      <w:pPr>
        <w:pStyle w:val="FirstParagraph"/>
      </w:pPr>
      <w:r>
        <w:t xml:space="preserve">This research proposal constitutes a vital initiative for the Economist’s professional trajectory in India’s premier economic hub. By centering on Mumbai—where economic complexity meets human scale—we address an urgent need for contextually grounded analysis that transcends textbook economics. The findings will directly serve Maharashtra's development agenda while establishing a replicable model for urban economists across India. As Mumbai accelerates toward becoming a $1 trillion city by 2035, this research positions the Economist as a key contributor to shaping its inclusive economic future. Crucially, every aspect of this proposal—from methodology to policy recommendations—reflects Mumbai’s unique socioeconomic fabric, making it indispensable for both academic rigor and real-world impact in India's most dynamic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of Urban Transformation in Mumbai, India</dc:title>
  <dc:creator/>
  <dc:language>en</dc:language>
  <cp:keywords/>
  <dcterms:created xsi:type="dcterms:W3CDTF">2026-07-21T02:50:21Z</dcterms:created>
  <dcterms:modified xsi:type="dcterms:W3CDTF">2026-07-21T02:50:21Z</dcterms:modified>
</cp:coreProperties>
</file>

<file path=docProps/custom.xml><?xml version="1.0" encoding="utf-8"?>
<Properties xmlns="http://schemas.openxmlformats.org/officeDocument/2006/custom-properties" xmlns:vt="http://schemas.openxmlformats.org/officeDocument/2006/docPropsVTypes"/>
</file>