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Kuwait</w:t>
      </w:r>
      <w:r>
        <w:t xml:space="preserve"> </w:t>
      </w:r>
      <w:r>
        <w:t xml:space="preserve">City</w:t>
      </w:r>
    </w:p>
    <w:bookmarkStart w:id="28" w:name="X672b70692049e02238a18e4d9997edd5df6f9c7"/>
    <w:p>
      <w:pPr>
        <w:pStyle w:val="Heading1"/>
      </w:pPr>
      <w:r>
        <w:t xml:space="preserve">Research Proposal: Economic Diversification Strategies for Sustainable Growth in Kuwait City</w:t>
      </w:r>
    </w:p>
    <w:bookmarkStart w:id="20" w:name="introduction-and-background"/>
    <w:p>
      <w:pPr>
        <w:pStyle w:val="Heading2"/>
      </w:pPr>
      <w:r>
        <w:t xml:space="preserve">Introduction and Background</w:t>
      </w:r>
    </w:p>
    <w:p>
      <w:pPr>
        <w:pStyle w:val="FirstParagraph"/>
      </w:pPr>
      <w:r>
        <w:t xml:space="preserve">Kuwait City, the vibrant capital of the State of Kuwait, stands at a pivotal juncture in its economic evolution. As a nation historically dependent on hydrocarbon revenues, Kuwait faces mounting pressure to achieve sustainable development amid global energy transitions and volatile oil markets. The Government of Kuwait has articulated an ambitious vision—Kuwait Vision 2035—to foster economic diversification beyond oil, reduce fiscal vulnerability, and enhance private-sector-led growth. Central to this transformation is the critical role of the</w:t>
      </w:r>
      <w:r>
        <w:t xml:space="preserve"> </w:t>
      </w:r>
      <w:r>
        <w:rPr>
          <w:bCs/>
          <w:b/>
        </w:rPr>
        <w:t xml:space="preserve">Economist</w:t>
      </w:r>
      <w:r>
        <w:t xml:space="preserve"> </w:t>
      </w:r>
      <w:r>
        <w:t xml:space="preserve">as a strategic advisor, policy analyst, and evidence-based decision-maker. This research proposal outlines a comprehensive study to develop actionable economic strategies tailored specifically for Kuwait City’s unique socio-economic ecosystem, where over 70% of the nation’s population resides and 85% of GDP is generated. The</w:t>
      </w:r>
      <w:r>
        <w:t xml:space="preserve"> </w:t>
      </w:r>
      <w:r>
        <w:rPr>
          <w:bCs/>
          <w:b/>
        </w:rPr>
        <w:t xml:space="preserve">Economist</w:t>
      </w:r>
      <w:r>
        <w:t xml:space="preserve"> </w:t>
      </w:r>
      <w:r>
        <w:t xml:space="preserve">must navigate complex challenges including demographic shifts, youth unemployment (12.3%), and the need to cultivate knowledge-based industries—making this research imperative for Kuwait City’s future prosperity.</w:t>
      </w:r>
    </w:p>
    <w:bookmarkEnd w:id="20"/>
    <w:bookmarkStart w:id="21" w:name="problem-statement"/>
    <w:p>
      <w:pPr>
        <w:pStyle w:val="Heading2"/>
      </w:pPr>
      <w:r>
        <w:t xml:space="preserve">Problem Statement</w:t>
      </w:r>
    </w:p>
    <w:p>
      <w:pPr>
        <w:pStyle w:val="FirstParagraph"/>
      </w:pPr>
      <w:r>
        <w:t xml:space="preserve">Despite Kuwait’s substantial sovereign wealth fund ($608 billion), the economy remains heavily reliant on oil (45% of GDP, 90% of government revenue). This structural vulnerability is exacerbated in Kuwait City, where urbanization pressures strain public services and infrastructure. Current diversification efforts—such as financial services expansion and tourism initiatives—have not achieved sufficient scale to create inclusive growth. Crucially, existing policy frameworks lack granular analysis of Kuwait City’s micro-economies, resulting in suboptimal resource allocation. The absence of localized economic modeling by a dedicated</w:t>
      </w:r>
      <w:r>
        <w:t xml:space="preserve"> </w:t>
      </w:r>
      <w:r>
        <w:rPr>
          <w:bCs/>
          <w:b/>
        </w:rPr>
        <w:t xml:space="preserve">Economist</w:t>
      </w:r>
      <w:r>
        <w:t xml:space="preserve"> </w:t>
      </w:r>
      <w:r>
        <w:t xml:space="preserve">has led to fragmented strategies that fail to address sector-specific challenges: for instance, the retail sector (15% of non-oil GDP) suffers from regulatory hurdles, while tech startups face capital access barriers. Without evidence-based interventions anchored in Kuwait City’s realities, diversification goals risk stagnation.</w:t>
      </w:r>
    </w:p>
    <w:bookmarkEnd w:id="21"/>
    <w:bookmarkStart w:id="22" w:name="research-questions-and-objectives"/>
    <w:p>
      <w:pPr>
        <w:pStyle w:val="Heading2"/>
      </w:pPr>
      <w:r>
        <w:t xml:space="preserve">Research Questions and Objectives</w:t>
      </w:r>
    </w:p>
    <w:p>
      <w:pPr>
        <w:pStyle w:val="FirstParagraph"/>
      </w:pPr>
      <w:r>
        <w:rPr>
          <w:bCs/>
          <w:b/>
        </w:rPr>
        <w:t xml:space="preserve">Primary Question:</w:t>
      </w:r>
      <w:r>
        <w:t xml:space="preserve"> </w:t>
      </w:r>
      <w:r>
        <w:t xml:space="preserve">What sector-specific economic diversification pathways can generate sustainable employment and GDP growth for Kuwait City within the next decade?</w:t>
      </w:r>
    </w:p>
    <w:p>
      <w:pPr>
        <w:pStyle w:val="BodyText"/>
      </w:pPr>
      <w:r>
        <w:rPr>
          <w:bCs/>
          <w:b/>
        </w:rPr>
        <w:t xml:space="preserve">Secondary Questions:</w:t>
      </w:r>
    </w:p>
    <w:p>
      <w:pPr>
        <w:pStyle w:val="BodyText"/>
      </w:pPr>
      <w:r>
        <w:t xml:space="preserve">How do regulatory frameworks in Kuwait City impact entrepreneurship in key emerging sectors (e.g., fintech, healthcare, renewable energy)?</w:t>
      </w:r>
    </w:p>
    <w:p>
      <w:pPr>
        <w:pStyle w:val="FirstParagraph"/>
      </w:pPr>
      <w:r>
        <w:t xml:space="preserve">What policy reforms would maximize foreign direct investment in non-oil sectors while preserving cultural values?</w:t>
      </w:r>
    </w:p>
    <w:p>
      <w:pPr>
        <w:pStyle w:val="BodyText"/>
      </w:pPr>
      <w:r>
        <w:t xml:space="preserve">How can digital infrastructure be leveraged to transform Kuwait City into a regional innovation hub?</w:t>
      </w:r>
    </w:p>
    <w:p>
      <w:pPr>
        <w:pStyle w:val="BodyText"/>
      </w:pPr>
      <w:r>
        <w:rPr>
          <w:bCs/>
          <w:b/>
        </w:rPr>
        <w:t xml:space="preserve">Objectives:</w:t>
      </w:r>
    </w:p>
    <w:p>
      <w:pPr>
        <w:numPr>
          <w:ilvl w:val="0"/>
          <w:numId w:val="1002"/>
        </w:numPr>
        <w:pStyle w:val="Compact"/>
      </w:pPr>
      <w:r>
        <w:t xml:space="preserve">Develop a dynamic economic model simulating diversification outcomes for Kuwait City under varying policy scenarios.</w:t>
      </w:r>
    </w:p>
    <w:p>
      <w:pPr>
        <w:numPr>
          <w:ilvl w:val="0"/>
          <w:numId w:val="1002"/>
        </w:numPr>
        <w:pStyle w:val="Compact"/>
      </w:pPr>
      <w:r>
        <w:t xml:space="preserve">Identify 3–5 high-potential sectors for targeted investment, validated by industry stakeholder interviews in Kuwait City.</w:t>
      </w:r>
    </w:p>
    <w:p>
      <w:pPr>
        <w:numPr>
          <w:ilvl w:val="0"/>
          <w:numId w:val="1002"/>
        </w:numPr>
        <w:pStyle w:val="Compact"/>
      </w:pPr>
      <w:r>
        <w:t xml:space="preserve">Propose regulatory reforms to reduce bureaucratic friction for SMEs in Kuwait City’s commercial zones.</w:t>
      </w:r>
    </w:p>
    <w:bookmarkEnd w:id="22"/>
    <w:bookmarkStart w:id="23" w:name="literature-review"/>
    <w:p>
      <w:pPr>
        <w:pStyle w:val="Heading2"/>
      </w:pPr>
      <w:r>
        <w:t xml:space="preserve">Literature Review</w:t>
      </w:r>
    </w:p>
    <w:p>
      <w:pPr>
        <w:pStyle w:val="FirstParagraph"/>
      </w:pPr>
      <w:r>
        <w:t xml:space="preserve">Existing studies on Gulf economies (e.g., Al-Muhannadi, 2019; World Bank, 2021) emphasize diversification as a necessity but largely overlook Kuwait City’s urban-specific dynamics. While Bahrain and Dubai have been extensively analyzed for their tourism-driven models, Kuwait City’s context—characterized by high per-capita GDP but low private-sector participation (35% of employment vs. 65% public sector)—requires tailored analysis. A 2022</w:t>
      </w:r>
      <w:r>
        <w:t xml:space="preserve"> </w:t>
      </w:r>
      <w:r>
        <w:rPr>
          <w:iCs/>
          <w:i/>
        </w:rPr>
        <w:t xml:space="preserve">Kuwait Economic Monitor</w:t>
      </w:r>
      <w:r>
        <w:t xml:space="preserve"> </w:t>
      </w:r>
      <w:r>
        <w:t xml:space="preserve">noted that "Kuwait City’s economic resilience is hampered by a lack of granular data," underscoring the gap this research addresses. This study will integrate insights from successful urban diversification cases (e.g., Singapore’s biotech cluster) while adapting them to Kuwait City’s cultural and institutional framework—a role demanding deep expertise from an</w:t>
      </w:r>
      <w:r>
        <w:t xml:space="preserve"> </w:t>
      </w:r>
      <w:r>
        <w:rPr>
          <w:bCs/>
          <w:b/>
        </w:rPr>
        <w:t xml:space="preserve">Economist</w:t>
      </w:r>
      <w:r>
        <w:t xml:space="preserve">.</w:t>
      </w:r>
    </w:p>
    <w:bookmarkEnd w:id="23"/>
    <w:bookmarkStart w:id="24" w:name="methodology"/>
    <w:p>
      <w:pPr>
        <w:pStyle w:val="Heading2"/>
      </w:pPr>
      <w:r>
        <w:t xml:space="preserve">Methodology</w:t>
      </w:r>
    </w:p>
    <w:p>
      <w:pPr>
        <w:pStyle w:val="FirstParagraph"/>
      </w:pPr>
      <w:r>
        <w:t xml:space="preserve">This mixed-methods research will be conducted over 18 months, with primary data collection in Kuwait City. The design includes:</w:t>
      </w:r>
    </w:p>
    <w:p>
      <w:pPr>
        <w:numPr>
          <w:ilvl w:val="0"/>
          <w:numId w:val="1003"/>
        </w:numPr>
        <w:pStyle w:val="Compact"/>
      </w:pPr>
      <w:r>
        <w:rPr>
          <w:bCs/>
          <w:b/>
        </w:rPr>
        <w:t xml:space="preserve">Quantitative Analysis:</w:t>
      </w:r>
      <w:r>
        <w:t xml:space="preserve"> </w:t>
      </w:r>
      <w:r>
        <w:t xml:space="preserve">Utilize Kuwait Central Bank datasets and World Bank indicators to build a computable general equilibrium (CGE) model of Kuwait City’s economy, simulating oil price shocks and diversification policies.</w:t>
      </w:r>
    </w:p>
    <w:p>
      <w:pPr>
        <w:numPr>
          <w:ilvl w:val="0"/>
          <w:numId w:val="1003"/>
        </w:numPr>
        <w:pStyle w:val="Compact"/>
      </w:pPr>
      <w:r>
        <w:rPr>
          <w:bCs/>
          <w:b/>
        </w:rPr>
        <w:t xml:space="preserve">Qualitative Fieldwork:</w:t>
      </w:r>
      <w:r>
        <w:t xml:space="preserve"> </w:t>
      </w:r>
      <w:r>
        <w:t xml:space="preserve">Conduct 60+ semi-structured interviews with policymakers at the Public Authority for Civil Information, business leaders in Kuwait City’s Corporate Park, and SME owners across 7 districts (e.g., Hawalli, Farwaniya).</w:t>
      </w:r>
    </w:p>
    <w:p>
      <w:pPr>
        <w:numPr>
          <w:ilvl w:val="0"/>
          <w:numId w:val="1003"/>
        </w:numPr>
        <w:pStyle w:val="Compact"/>
      </w:pPr>
      <w:r>
        <w:rPr>
          <w:bCs/>
          <w:b/>
        </w:rPr>
        <w:t xml:space="preserve">Stakeholder Workshops:</w:t>
      </w:r>
      <w:r>
        <w:t xml:space="preserve"> </w:t>
      </w:r>
      <w:r>
        <w:t xml:space="preserve">Host three policy roundtables in Kuwait City involving the Ministry of Finance, Kuwait Stock Exchange representatives, and university economists to co-design solutions.</w:t>
      </w:r>
    </w:p>
    <w:p>
      <w:pPr>
        <w:numPr>
          <w:ilvl w:val="0"/>
          <w:numId w:val="1003"/>
        </w:numPr>
        <w:pStyle w:val="Compact"/>
      </w:pPr>
      <w:r>
        <w:rPr>
          <w:bCs/>
          <w:b/>
        </w:rPr>
        <w:t xml:space="preserve">Data Validation:</w:t>
      </w:r>
      <w:r>
        <w:t xml:space="preserve"> </w:t>
      </w:r>
      <w:r>
        <w:t xml:space="preserve">Cross-check findings against real-time Kafalah (wage protection system) data and Emarat (business registration) records from Kuwait City’s municipal authorities.</w:t>
      </w:r>
    </w:p>
    <w:p>
      <w:pPr>
        <w:pStyle w:val="FirstParagraph"/>
      </w:pPr>
      <w:r>
        <w:t xml:space="preserve">The</w:t>
      </w:r>
      <w:r>
        <w:t xml:space="preserve"> </w:t>
      </w:r>
      <w:r>
        <w:rPr>
          <w:bCs/>
          <w:b/>
        </w:rPr>
        <w:t xml:space="preserve">Economist</w:t>
      </w:r>
      <w:r>
        <w:t xml:space="preserve"> </w:t>
      </w:r>
      <w:r>
        <w:t xml:space="preserve">will employ advanced econometric tools to ensure rigor, with all analysis contextualized within Kuwait City’s urban infrastructure constraints—such as the need for high-speed broadband in commercial hubs or public transport optimization to support workforce mobility.</w:t>
      </w:r>
    </w:p>
    <w:bookmarkEnd w:id="24"/>
    <w:bookmarkStart w:id="25" w:name="expected-outcomes-and-significance"/>
    <w:p>
      <w:pPr>
        <w:pStyle w:val="Heading2"/>
      </w:pPr>
      <w:r>
        <w:t xml:space="preserve">Expected Outcomes and Significance</w:t>
      </w:r>
    </w:p>
    <w:p>
      <w:pPr>
        <w:pStyle w:val="FirstParagraph"/>
      </w:pPr>
      <w:r>
        <w:t xml:space="preserve">This research will deliver a strategic roadmap titled "</w:t>
      </w:r>
      <w:r>
        <w:rPr>
          <w:iCs/>
          <w:i/>
        </w:rPr>
        <w:t xml:space="preserve">Kuwait City Economic Diversification Blueprint 2035</w:t>
      </w:r>
      <w:r>
        <w:t xml:space="preserve">" with three key outputs:</w:t>
      </w:r>
    </w:p>
    <w:p>
      <w:pPr>
        <w:numPr>
          <w:ilvl w:val="0"/>
          <w:numId w:val="1004"/>
        </w:numPr>
        <w:pStyle w:val="Compact"/>
      </w:pPr>
      <w:r>
        <w:rPr>
          <w:bCs/>
          <w:b/>
        </w:rPr>
        <w:t xml:space="preserve">Policy Briefs:</w:t>
      </w:r>
      <w:r>
        <w:t xml:space="preserve"> </w:t>
      </w:r>
      <w:r>
        <w:t xml:space="preserve">Targeted recommendations for the Ministry of Finance, e.g., tax incentives for tech startups in Kuwait City’s new Smart City initiative.</w:t>
      </w:r>
    </w:p>
    <w:p>
      <w:pPr>
        <w:numPr>
          <w:ilvl w:val="0"/>
          <w:numId w:val="1004"/>
        </w:numPr>
        <w:pStyle w:val="Compact"/>
      </w:pPr>
      <w:r>
        <w:rPr>
          <w:bCs/>
          <w:b/>
        </w:rPr>
        <w:t xml:space="preserve">Digital Dashboard:</w:t>
      </w:r>
      <w:r>
        <w:t xml:space="preserve"> </w:t>
      </w:r>
      <w:r>
        <w:t xml:space="preserve">An interactive platform (accessible to policymakers in Kuwait City) visualizing sector performance metrics and investment hotspots.</w:t>
      </w:r>
    </w:p>
    <w:p>
      <w:pPr>
        <w:numPr>
          <w:ilvl w:val="0"/>
          <w:numId w:val="1004"/>
        </w:numPr>
        <w:pStyle w:val="Compact"/>
      </w:pPr>
      <w:r>
        <w:rPr>
          <w:bCs/>
          <w:b/>
        </w:rPr>
        <w:t xml:space="preserve">Academic Publication:</w:t>
      </w:r>
      <w:r>
        <w:t xml:space="preserve"> </w:t>
      </w:r>
      <w:r>
        <w:t xml:space="preserve">A peer-reviewed journal article on "Urban Economic Transformation in Resource-Dependent Cities," positioning Kuwait as a case study for Global South economies.</w:t>
      </w:r>
    </w:p>
    <w:p>
      <w:pPr>
        <w:pStyle w:val="FirstParagraph"/>
      </w:pPr>
      <w:r>
        <w:t xml:space="preserve">The significance extends beyond economics: By generating locally grounded insights, this research directly supports Kuwait’s National Development Plan, reduces youth unemployment (a priority for the Government of Kuwait), and positions Kuwait City as a model for sustainable urban growth in the Gulf. Crucially, it empowers the</w:t>
      </w:r>
      <w:r>
        <w:t xml:space="preserve"> </w:t>
      </w:r>
      <w:r>
        <w:rPr>
          <w:bCs/>
          <w:b/>
        </w:rPr>
        <w:t xml:space="preserve">Economist</w:t>
      </w:r>
      <w:r>
        <w:t xml:space="preserve"> </w:t>
      </w:r>
      <w:r>
        <w:t xml:space="preserve">to transition from theoretical analysis to actionable policy—turning data into tangible development outcomes.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Field Preparation &amp; Data Collection (Kuwait City)</w:t>
      </w:r>
    </w:p>
    <w:p>
      <w:pPr>
        <w:pStyle w:val="BodyText"/>
      </w:pPr>
      <w:r>
        <w:t xml:space="preserve">Months 1–6</w:t>
      </w:r>
    </w:p>
    <w:p>
      <w:pPr>
        <w:pStyle w:val="BodyText"/>
      </w:pPr>
      <w:r>
        <w:t xml:space="preserve">Stakeholder map; Primary data corpus</w:t>
      </w:r>
    </w:p>
    <w:p>
      <w:pPr>
        <w:pStyle w:val="BodyText"/>
      </w:pPr>
      <w:r>
        <w:t xml:space="preserve">Economic Modeling &amp; Analysis</w:t>
      </w:r>
    </w:p>
    <w:p>
      <w:pPr>
        <w:pStyle w:val="BodyText"/>
      </w:pPr>
      <w:r>
        <w:t xml:space="preserve">Months 7–12</w:t>
      </w:r>
    </w:p>
    <w:p>
      <w:pPr>
        <w:pStyle w:val="BodyText"/>
      </w:pPr>
      <w:r>
        <w:t xml:space="preserve">CGE model; Sector viability reports</w:t>
      </w:r>
    </w:p>
    <w:p>
      <w:pPr>
        <w:pStyle w:val="BodyText"/>
      </w:pPr>
      <w:r>
        <w:t xml:space="preserve">Pilot Policy Design (Kuwait City Workshops)</w:t>
      </w:r>
    </w:p>
    <w:p>
      <w:pPr>
        <w:pStyle w:val="BodyText"/>
      </w:pPr>
      <w:r>
        <w:t xml:space="preserve">Months 13–15</w:t>
      </w:r>
    </w:p>
    <w:p>
      <w:pPr>
        <w:pStyle w:val="BodyText"/>
      </w:pPr>
      <w:r>
        <w:t xml:space="preserve">Draft policy briefs; Dashboard prototype</w:t>
      </w:r>
    </w:p>
    <w:p>
      <w:pPr>
        <w:pStyle w:val="BodyText"/>
      </w:pPr>
      <w:r>
        <w:t xml:space="preserve">Final Report &amp; Dissemination</w:t>
      </w:r>
    </w:p>
    <w:p>
      <w:pPr>
        <w:pStyle w:val="BodyText"/>
      </w:pPr>
      <w:r>
        <w:t xml:space="preserve">Months 16–18</w:t>
      </w:r>
    </w:p>
    <w:p>
      <w:pPr>
        <w:pStyle w:val="BodyText"/>
      </w:pPr>
      <w:r>
        <w:t xml:space="preserve">Kuwait City Economic Blueprint; Academic paper</w:t>
      </w:r>
    </w:p>
    <w:bookmarkEnd w:id="26"/>
    <w:bookmarkStart w:id="27" w:name="Xf4ec5c0cb22cc0fc24d6a9ee8f6f7215f243af4"/>
    <w:p>
      <w:pPr>
        <w:pStyle w:val="Heading2"/>
      </w:pPr>
      <w:r>
        <w:t xml:space="preserve">Conclusion: The Economist’s Imperative in Kuwait City</w:t>
      </w:r>
    </w:p>
    <w:p>
      <w:pPr>
        <w:pStyle w:val="FirstParagraph"/>
      </w:pPr>
      <w:r>
        <w:t xml:space="preserve">Kuwait City is not merely a geographical location—it is the engine of national economic strategy. The trajectory of diversification hinges on rigorous, context-specific analysis led by an</w:t>
      </w:r>
      <w:r>
        <w:t xml:space="preserve"> </w:t>
      </w:r>
      <w:r>
        <w:rPr>
          <w:bCs/>
          <w:b/>
        </w:rPr>
        <w:t xml:space="preserve">Economist</w:t>
      </w:r>
      <w:r>
        <w:t xml:space="preserve"> </w:t>
      </w:r>
      <w:r>
        <w:t xml:space="preserve">who understands both global best practices and Kuwait City’s unique sociocultural fabric. This research transcends academic exercise; it is a catalyst for redefining Kuwait’s economic identity. By embedding the</w:t>
      </w:r>
      <w:r>
        <w:t xml:space="preserve"> </w:t>
      </w:r>
      <w:r>
        <w:rPr>
          <w:bCs/>
          <w:b/>
        </w:rPr>
        <w:t xml:space="preserve">Research Proposal</w:t>
      </w:r>
      <w:r>
        <w:t xml:space="preserve"> </w:t>
      </w:r>
      <w:r>
        <w:t xml:space="preserve">within the lived realities of Kuwait City—from its bustling Souq Al-Mubarakiya to its emerging fintech hubs—the study ensures solutions are not only innovative but implementable. The Government of Kuwait has committed to investing $12 billion annually in diversification; this research will maximize that investment’s impact. In a world where cities drive 80% of global GDP, Kuwait City must lead through evidence-based economic stewardship. This proposal is the roadmap to make that vision a reality.</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Strategies for Sustainable Growth in Kuwait City</dc:title>
  <dc:creator/>
  <dc:language>en</dc:language>
  <cp:keywords/>
  <dcterms:created xsi:type="dcterms:W3CDTF">2025-12-13T09:58:57Z</dcterms:created>
  <dcterms:modified xsi:type="dcterms:W3CDTF">2025-12-13T09:58:57Z</dcterms:modified>
</cp:coreProperties>
</file>

<file path=docProps/custom.xml><?xml version="1.0" encoding="utf-8"?>
<Properties xmlns="http://schemas.openxmlformats.org/officeDocument/2006/custom-properties" xmlns:vt="http://schemas.openxmlformats.org/officeDocument/2006/docPropsVTypes"/>
</file>