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Transformation</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1a3fc0bd8fc8280e85cf6dc4d4ad3fb153dd01"/>
    <w:p>
      <w:pPr>
        <w:pStyle w:val="Heading1"/>
      </w:pPr>
      <w:r>
        <w:t xml:space="preserve">Research Proposal: Strategic Economic Analysis and Policy Formulation for Sustainable Growth in Saudi Arabia Riyadh</w:t>
      </w:r>
    </w:p>
    <w:bookmarkStart w:id="20" w:name="introduction"/>
    <w:p>
      <w:pPr>
        <w:pStyle w:val="Heading2"/>
      </w:pPr>
      <w:r>
        <w:t xml:space="preserve">1. Introduction</w:t>
      </w:r>
    </w:p>
    <w:p>
      <w:pPr>
        <w:pStyle w:val="FirstParagraph"/>
      </w:pPr>
      <w:r>
        <w:t xml:space="preserve">The Kingdom of Saudi Arabia, under the visionary framework of Vision 2030, is undergoing profound economic transformation centered in its capital, Riyadh. As the epicenter of this national metamorphosis, Riyadh serves as a critical laboratory for economic innovation and diversification beyond hydrocarbon dependency. This</w:t>
      </w:r>
      <w:r>
        <w:t xml:space="preserve"> </w:t>
      </w:r>
      <w:r>
        <w:rPr>
          <w:bCs/>
          <w:b/>
        </w:rPr>
        <w:t xml:space="preserve">Research Proposal</w:t>
      </w:r>
      <w:r>
        <w:t xml:space="preserve"> </w:t>
      </w:r>
      <w:r>
        <w:t xml:space="preserve">outlines an essential study to be led by a senior</w:t>
      </w:r>
      <w:r>
        <w:t xml:space="preserve"> </w:t>
      </w:r>
      <w:r>
        <w:rPr>
          <w:bCs/>
          <w:b/>
        </w:rPr>
        <w:t xml:space="preserve">Economist</w:t>
      </w:r>
      <w:r>
        <w:t xml:space="preserve">, directly addressing the strategic imperatives of Saudi Arabia Riyadh through rigorous analysis and actionable insights. The primary objective is to develop evidence-based policy recommendations that accelerate inclusive growth, enhance private sector dynamism, and position Riyadh as a global economic hub while aligning with national sustainability goals.</w:t>
      </w:r>
    </w:p>
    <w:bookmarkEnd w:id="20"/>
    <w:bookmarkStart w:id="21" w:name="Xa2024f812632c06a8f02c6be1ac603f5c66da12"/>
    <w:p>
      <w:pPr>
        <w:pStyle w:val="Heading2"/>
      </w:pPr>
      <w:r>
        <w:t xml:space="preserve">2. Context: The Imperative for Economic Research in Riyadh</w:t>
      </w:r>
    </w:p>
    <w:p>
      <w:pPr>
        <w:pStyle w:val="FirstParagraph"/>
      </w:pPr>
      <w:r>
        <w:t xml:space="preserve">Riyadh's economy has grown at 3.5% annually (World Bank, 2023), yet structural challenges persist including high youth unemployment (17%) and over-reliance on public sector employment. The</w:t>
      </w:r>
      <w:r>
        <w:t xml:space="preserve"> </w:t>
      </w:r>
      <w:r>
        <w:rPr>
          <w:bCs/>
          <w:b/>
        </w:rPr>
        <w:t xml:space="preserve">Economist</w:t>
      </w:r>
      <w:r>
        <w:t xml:space="preserve"> </w:t>
      </w:r>
      <w:r>
        <w:t xml:space="preserve">appointed for this research must navigate the unique confluence of traditional governance structures and modern market-oriented reforms within Saudi Arabia Riyadh. Key initiatives like the National Industrial Development Program (IDP), Riyadh Economic City, and global investment drives by MBS necessitate real-time economic assessment. This</w:t>
      </w:r>
      <w:r>
        <w:t xml:space="preserve"> </w:t>
      </w:r>
      <w:r>
        <w:rPr>
          <w:bCs/>
          <w:b/>
        </w:rPr>
        <w:t xml:space="preserve">Research Proposal</w:t>
      </w:r>
      <w:r>
        <w:t xml:space="preserve"> </w:t>
      </w:r>
      <w:r>
        <w:t xml:space="preserve">responds to a critical gap: the lack of granular, localized data on sectoral performance, labor market transitions, and SME resilience specifically within Riyadh's evolving urban economy.</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impact of Vision 2030 initiatives (e.g., NEOM, Red Sea Project) on Riyadh's GDP composition and employment patterns by 2030.</w:t>
      </w:r>
    </w:p>
    <w:p>
      <w:pPr>
        <w:numPr>
          <w:ilvl w:val="0"/>
          <w:numId w:val="1001"/>
        </w:numPr>
        <w:pStyle w:val="Compact"/>
      </w:pPr>
      <w:r>
        <w:t xml:space="preserve">To analyze barriers to private sector expansion for SMEs in Riyadh, including regulatory hurdles, access to finance, and gender inclusion gaps.</w:t>
      </w:r>
    </w:p>
    <w:p>
      <w:pPr>
        <w:numPr>
          <w:ilvl w:val="0"/>
          <w:numId w:val="1001"/>
        </w:numPr>
        <w:pStyle w:val="Compact"/>
      </w:pPr>
      <w:r>
        <w:t xml:space="preserve">To model the long-term fiscal sustainability of public investment projects in Saudi Arabia Riyadh against alternative scenarios (e.g., oil price volatility).</w:t>
      </w:r>
    </w:p>
    <w:p>
      <w:pPr>
        <w:numPr>
          <w:ilvl w:val="0"/>
          <w:numId w:val="1001"/>
        </w:numPr>
        <w:pStyle w:val="Compact"/>
      </w:pPr>
      <w:r>
        <w:t xml:space="preserve">To develop a predictive framework for labor market alignment between educational outputs and emerging sectoral demands in Riyadh.</w:t>
      </w:r>
    </w:p>
    <w:bookmarkEnd w:id="22"/>
    <w:bookmarkStart w:id="23" w:name="X013f1cba8c0ac3c77ce9f9874d28de909a1a7b7"/>
    <w:p>
      <w:pPr>
        <w:pStyle w:val="Heading2"/>
      </w:pPr>
      <w:r>
        <w:t xml:space="preserve">4. Methodology: Rigorous &amp; Contextualized Analysis</w:t>
      </w:r>
    </w:p>
    <w:p>
      <w:pPr>
        <w:pStyle w:val="FirstParagraph"/>
      </w:pPr>
      <w:r>
        <w:t xml:space="preserve">This study employs a mixed-methods approach tailored to Saudi Arabia Riyadh's socio-economic fabric:</w:t>
      </w:r>
    </w:p>
    <w:p>
      <w:pPr>
        <w:numPr>
          <w:ilvl w:val="0"/>
          <w:numId w:val="1002"/>
        </w:numPr>
        <w:pStyle w:val="Compact"/>
      </w:pPr>
      <w:r>
        <w:rPr>
          <w:bCs/>
          <w:b/>
        </w:rPr>
        <w:t xml:space="preserve">Quantitative Analysis:</w:t>
      </w:r>
      <w:r>
        <w:t xml:space="preserve"> </w:t>
      </w:r>
      <w:r>
        <w:t xml:space="preserve">Utilizing Saudi Central Bank (SAMA) data, Ministry of Investment databases, and proprietary surveys from 500+ Riyadh-based SMEs. Econometric models (VAR and CGE) will simulate policy impacts on GDP, employment, and FDI inflows.</w:t>
      </w:r>
    </w:p>
    <w:p>
      <w:pPr>
        <w:numPr>
          <w:ilvl w:val="0"/>
          <w:numId w:val="1002"/>
        </w:numPr>
        <w:pStyle w:val="Compact"/>
      </w:pPr>
      <w:r>
        <w:rPr>
          <w:bCs/>
          <w:b/>
        </w:rPr>
        <w:t xml:space="preserve">Qualitative Research:</w:t>
      </w:r>
      <w:r>
        <w:t xml:space="preserve"> </w:t>
      </w:r>
      <w:r>
        <w:t xml:space="preserve">Focus groups with business leaders (Riyadh Chamber of Commerce), government officials (MISA, SDAIA), and community representatives to contextualize data. Deep-dive case studies of successful industrial clusters like Riyadh's Tech Valley will inform scalability pathways.</w:t>
      </w:r>
    </w:p>
    <w:p>
      <w:pPr>
        <w:numPr>
          <w:ilvl w:val="0"/>
          <w:numId w:val="1002"/>
        </w:numPr>
        <w:pStyle w:val="Compact"/>
      </w:pPr>
      <w:r>
        <w:rPr>
          <w:bCs/>
          <w:b/>
        </w:rPr>
        <w:t xml:space="preserve">Comparative Benchmarking:</w:t>
      </w:r>
      <w:r>
        <w:t xml:space="preserve"> </w:t>
      </w:r>
      <w:r>
        <w:t xml:space="preserve">Cross-referencing Riyadh's performance with global smart cities (Singapore, Dubai) on metrics like business licensing speed, innovation index, and human capital development.</w:t>
      </w:r>
    </w:p>
    <w:p>
      <w:pPr>
        <w:pStyle w:val="FirstParagraph"/>
      </w:pPr>
      <w:r>
        <w:t xml:space="preserve">The appointed</w:t>
      </w:r>
      <w:r>
        <w:t xml:space="preserve"> </w:t>
      </w:r>
      <w:r>
        <w:rPr>
          <w:bCs/>
          <w:b/>
        </w:rPr>
        <w:t xml:space="preserve">Economist</w:t>
      </w:r>
      <w:r>
        <w:t xml:space="preserve"> </w:t>
      </w:r>
      <w:r>
        <w:t xml:space="preserve">will ensure methodological integrity through collaboration with the King Abdullah Financial District (KAFD) Economic Research Center and Riyadh's newly established Data Science Institute. All analysis adheres to Saudi Arabia's National Strategy for Data Governance, guaranteeing ethical data usage within local regulatory frameworks.</w:t>
      </w:r>
    </w:p>
    <w:bookmarkEnd w:id="23"/>
    <w:bookmarkStart w:id="24" w:name="expected-outcomes-strategic-significance"/>
    <w:p>
      <w:pPr>
        <w:pStyle w:val="Heading2"/>
      </w:pPr>
      <w:r>
        <w:t xml:space="preserve">5. Expected Outcomes &amp; Strategic Significance</w:t>
      </w:r>
    </w:p>
    <w:p>
      <w:pPr>
        <w:pStyle w:val="FirstParagraph"/>
      </w:pPr>
      <w:r>
        <w:t xml:space="preserve">This</w:t>
      </w:r>
      <w:r>
        <w:t xml:space="preserve"> </w:t>
      </w:r>
      <w:r>
        <w:rPr>
          <w:bCs/>
          <w:b/>
        </w:rPr>
        <w:t xml:space="preserve">Research Proposal</w:t>
      </w:r>
      <w:r>
        <w:t xml:space="preserve"> </w:t>
      </w:r>
      <w:r>
        <w:t xml:space="preserve">will deliver four transformative outputs directly applicable to Saudi Arabia Riyadh:</w:t>
      </w:r>
    </w:p>
    <w:p>
      <w:pPr>
        <w:numPr>
          <w:ilvl w:val="0"/>
          <w:numId w:val="1003"/>
        </w:numPr>
        <w:pStyle w:val="Compact"/>
      </w:pPr>
      <w:r>
        <w:rPr>
          <w:bCs/>
          <w:b/>
        </w:rPr>
        <w:t xml:space="preserve">Actionable Policy Briefs:</w:t>
      </w:r>
      <w:r>
        <w:t xml:space="preserve"> </w:t>
      </w:r>
      <w:r>
        <w:t xml:space="preserve">Prioritized recommendations for the Ministry of Investment and Riyadh Development Authority, targeting immediate interventions (e.g., streamlining permits for tech startups).</w:t>
      </w:r>
    </w:p>
    <w:p>
      <w:pPr>
        <w:numPr>
          <w:ilvl w:val="0"/>
          <w:numId w:val="1003"/>
        </w:numPr>
        <w:pStyle w:val="Compact"/>
      </w:pPr>
      <w:r>
        <w:rPr>
          <w:bCs/>
          <w:b/>
        </w:rPr>
        <w:t xml:space="preserve">SME Growth Toolkit:</w:t>
      </w:r>
      <w:r>
        <w:t xml:space="preserve"> </w:t>
      </w:r>
      <w:r>
        <w:t xml:space="preserve">A localized resource guide addressing finance access (partnering with Samba Capital) and digital literacy gaps identified in Riyadh's small business ecosystem.</w:t>
      </w:r>
    </w:p>
    <w:p>
      <w:pPr>
        <w:numPr>
          <w:ilvl w:val="0"/>
          <w:numId w:val="1003"/>
        </w:numPr>
        <w:pStyle w:val="Compact"/>
      </w:pPr>
      <w:r>
        <w:rPr>
          <w:bCs/>
          <w:b/>
        </w:rPr>
        <w:t xml:space="preserve">Labour Market Dashboard:</w:t>
      </w:r>
      <w:r>
        <w:t xml:space="preserve"> </w:t>
      </w:r>
      <w:r>
        <w:t xml:space="preserve">An interactive platform tracking real-time skills-demand mismatches across Riyadh's 12 key growth sectors (e.g., fintech, renewable energy).</w:t>
      </w:r>
    </w:p>
    <w:p>
      <w:pPr>
        <w:numPr>
          <w:ilvl w:val="0"/>
          <w:numId w:val="1003"/>
        </w:numPr>
        <w:pStyle w:val="Compact"/>
      </w:pPr>
      <w:r>
        <w:rPr>
          <w:bCs/>
          <w:b/>
        </w:rPr>
        <w:t xml:space="preserve">Economic Resilience Scorecard:</w:t>
      </w:r>
      <w:r>
        <w:t xml:space="preserve"> </w:t>
      </w:r>
      <w:r>
        <w:t xml:space="preserve">A quarterly assessment of Riyadh's progress against Vision 2030 targets, enabling agile policy adjustments.</w:t>
      </w:r>
    </w:p>
    <w:p>
      <w:pPr>
        <w:pStyle w:val="FirstParagraph"/>
      </w:pPr>
      <w:r>
        <w:t xml:space="preserve">The significance extends beyond Riyadh: Findings will inform national economic strategy and position Saudi Arabia as a leader in data-driven policymaking. As the world's largest economy transitioning from oil dependence, Saudi Arabia Riyadh offers a globally relevant case study for emerging economies navigating structural reform.</w:t>
      </w:r>
    </w:p>
    <w:bookmarkEnd w:id="24"/>
    <w:bookmarkStart w:id="25" w:name="X071aac15e61365a91f9ffd74cc3177203422509"/>
    <w:p>
      <w:pPr>
        <w:pStyle w:val="Heading2"/>
      </w:pPr>
      <w:r>
        <w:t xml:space="preserve">6. Implementation Timeline &amp;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Analysis</w:t>
            </w:r>
          </w:p>
        </w:tc>
        <w:tc>
          <w:tcPr/>
          <w:p>
            <w:pPr>
              <w:pStyle w:val="Compact"/>
              <w:jc w:val="left"/>
            </w:pPr>
            <w:r>
              <w:t xml:space="preserve">Months 1-4</w:t>
            </w:r>
          </w:p>
        </w:tc>
        <w:tc>
          <w:tcPr/>
          <w:p>
            <w:pPr>
              <w:pStyle w:val="Compact"/>
              <w:jc w:val="left"/>
            </w:pPr>
            <w:r>
              <w:t xml:space="preserve">Riyadh Economic Baseline Report; SME Survey Results</w:t>
            </w:r>
          </w:p>
        </w:tc>
      </w:tr>
      <w:tr>
        <w:tc>
          <w:tcPr/>
          <w:p>
            <w:pPr>
              <w:pStyle w:val="Compact"/>
              <w:jc w:val="left"/>
            </w:pPr>
            <w:r>
              <w:t xml:space="preserve">Policy Modeling &amp; Stakeholder Workshops</w:t>
            </w:r>
          </w:p>
        </w:tc>
        <w:tc>
          <w:tcPr/>
          <w:p>
            <w:pPr>
              <w:pStyle w:val="Compact"/>
              <w:jc w:val="left"/>
            </w:pPr>
            <w:r>
              <w:t xml:space="preserve">Months 5-8</w:t>
            </w:r>
          </w:p>
        </w:tc>
        <w:tc>
          <w:tcPr/>
          <w:p>
            <w:pPr>
              <w:pStyle w:val="Compact"/>
              <w:jc w:val="left"/>
            </w:pPr>
            <w:r>
              <w:t xml:space="preserve">Predictive Growth Models; Draft Policy Recommendations</w:t>
            </w:r>
          </w:p>
        </w:tc>
      </w:tr>
      <w:tr>
        <w:tc>
          <w:tcPr/>
          <w:p>
            <w:pPr>
              <w:pStyle w:val="Compact"/>
              <w:jc w:val="left"/>
            </w:pPr>
            <w:r>
              <w:t xml:space="preserve">Toolkit Development &amp; Validation</w:t>
            </w:r>
          </w:p>
        </w:tc>
        <w:tc>
          <w:tcPr/>
          <w:p>
            <w:pPr>
              <w:pStyle w:val="Compact"/>
              <w:jc w:val="left"/>
            </w:pPr>
            <w:r>
              <w:t xml:space="preserve">Months 9-11</w:t>
            </w:r>
          </w:p>
          <w:p>
            <w:pPr>
              <w:jc w:val="left"/>
            </w:pPr>
            <w:r>
              <w:rPr>
                <w:bCs/>
                <w:b/>
              </w:rPr>
              <w:t xml:space="preserve">Economist's Role:</w:t>
            </w:r>
            <w:r>
              <w:t xml:space="preserve"> </w:t>
            </w:r>
            <w:r>
              <w:t xml:space="preserve">Lead all analytical phases, oversee stakeholder engagement, and ensure outputs meet Saudi Arabia's strategic priorities. The incumbent must possess deep expertise in emerging market economics with proven experience in GCC policy contexts.</w:t>
            </w:r>
          </w:p>
        </w:tc>
        <w:tc>
          <w:tcPr/>
          <w:p>
            <w:pPr>
              <w:pStyle w:val="Compact"/>
            </w:pPr>
          </w:p>
        </w:tc>
      </w:tr>
    </w:tbl>
    <w:bookmarkEnd w:id="25"/>
    <w:bookmarkStart w:id="26" w:name="Xed5387c7e1acd65e37a36a0167c9d9291cf8ce4"/>
    <w:p>
      <w:pPr>
        <w:pStyle w:val="Heading2"/>
      </w:pPr>
      <w:r>
        <w:t xml:space="preserve">7. Conclusion: A Catalyst for Riyadh's Economic Future</w:t>
      </w:r>
    </w:p>
    <w:p>
      <w:pPr>
        <w:pStyle w:val="FirstParagraph"/>
      </w:pPr>
      <w:r>
        <w:t xml:space="preserve">This</w:t>
      </w:r>
      <w:r>
        <w:t xml:space="preserve"> </w:t>
      </w:r>
      <w:r>
        <w:rPr>
          <w:bCs/>
          <w:b/>
        </w:rPr>
        <w:t xml:space="preserve">Research Proposal</w:t>
      </w:r>
      <w:r>
        <w:t xml:space="preserve"> </w:t>
      </w:r>
      <w:r>
        <w:t xml:space="preserve">is not merely an academic exercise but a strategic investment in Saudi Arabia Riyadh's economic sovereignty. The appointed</w:t>
      </w:r>
      <w:r>
        <w:t xml:space="preserve"> </w:t>
      </w:r>
      <w:r>
        <w:rPr>
          <w:bCs/>
          <w:b/>
        </w:rPr>
        <w:t xml:space="preserve">Economist</w:t>
      </w:r>
      <w:r>
        <w:t xml:space="preserve"> </w:t>
      </w:r>
      <w:r>
        <w:t xml:space="preserve">will serve as a critical bridge between data and decision-making, transforming Vision 2030 aspirations into tangible outcomes for the kingdom's capital city. By focusing on Riyadh – where 65% of the Kingdom’s GDP is generated and over 7 million residents drive consumption patterns – this research addresses the core challenge of sustainable economic diversification. The findings will empower policymakers to optimize resource allocation, accelerate private sector participation, and ensure Riyadh's growth benefits all segments of society. As Saudi Arabia positions itself as a global economic nexus, this study will provide the analytical rigor necessary for Riyadh to lead the way. We urgently seek endorsement for this initiative to secure Riyadh's status as a model of 21st-century economic resilience within Saudi Arabia and beyond.</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Transformation in Saudi Arabia Riyadh</dc:title>
  <dc:creator/>
  <dc:language>en</dc:language>
  <cp:keywords/>
  <dcterms:created xsi:type="dcterms:W3CDTF">2025-12-11T16:19:36Z</dcterms:created>
  <dcterms:modified xsi:type="dcterms:W3CDTF">2025-12-11T16:19:36Z</dcterms:modified>
</cp:coreProperties>
</file>

<file path=docProps/custom.xml><?xml version="1.0" encoding="utf-8"?>
<Properties xmlns="http://schemas.openxmlformats.org/officeDocument/2006/custom-properties" xmlns:vt="http://schemas.openxmlformats.org/officeDocument/2006/docPropsVTypes"/>
</file>