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Formulation</w:t>
      </w:r>
      <w:r>
        <w:t xml:space="preserve"> </w:t>
      </w:r>
      <w:r>
        <w:t xml:space="preserve">in</w:t>
      </w:r>
      <w:r>
        <w:t xml:space="preserve"> </w:t>
      </w:r>
      <w:r>
        <w:t xml:space="preserve">Bangkok,</w:t>
      </w:r>
      <w:r>
        <w:t xml:space="preserve"> </w:t>
      </w:r>
      <w:r>
        <w:t xml:space="preserve">Thailand</w:t>
      </w:r>
    </w:p>
    <w:bookmarkStart w:id="29" w:name="X3aaf1c1e077f3dc41075945b0c8d7a9b663ff74"/>
    <w:p>
      <w:pPr>
        <w:pStyle w:val="Heading1"/>
      </w:pPr>
      <w:r>
        <w:t xml:space="preserve">Research Proposal: Economic Dynamics and Policy Formulation in Bangkok, Thailand</w:t>
      </w:r>
    </w:p>
    <w:bookmarkStart w:id="20" w:name="i.-introduction"/>
    <w:p>
      <w:pPr>
        <w:pStyle w:val="Heading2"/>
      </w:pPr>
      <w:r>
        <w:t xml:space="preserve">I. Introduction</w:t>
      </w:r>
    </w:p>
    <w:p>
      <w:pPr>
        <w:pStyle w:val="FirstParagraph"/>
      </w:pPr>
      <w:r>
        <w:t xml:space="preserve">In the rapidly evolving economic landscape of Southeast Asia, the role of the</w:t>
      </w:r>
      <w:r>
        <w:t xml:space="preserve"> </w:t>
      </w:r>
      <w:r>
        <w:rPr>
          <w:bCs/>
          <w:b/>
        </w:rPr>
        <w:t xml:space="preserve">Economist</w:t>
      </w:r>
      <w:r>
        <w:t xml:space="preserve"> </w:t>
      </w:r>
      <w:r>
        <w:t xml:space="preserve">as a strategic advisor and analytical catalyst has never been more critical. This research proposal outlines a comprehensive study focused on Bangkok, Thailand—a regional economic powerhouse driving ASEAN's growth trajectory. As Thailand's capital and commercial hub, Bangkok serves as an unparalleled laboratory for examining macroeconomic resilience, urban economic transformation, and policy efficacy in emerging markets. With its unique position as a gateway between traditional industries and digital innovation, this research will directly engage with the challenges facing contemporary</w:t>
      </w:r>
      <w:r>
        <w:t xml:space="preserve"> </w:t>
      </w:r>
      <w:r>
        <w:rPr>
          <w:bCs/>
          <w:b/>
        </w:rPr>
        <w:t xml:space="preserve">Economist</w:t>
      </w:r>
      <w:r>
        <w:t xml:space="preserve">s operating within Thailand's dynamic context.</w:t>
      </w:r>
    </w:p>
    <w:bookmarkEnd w:id="20"/>
    <w:bookmarkStart w:id="21" w:name="ii.-research-problem-statement"/>
    <w:p>
      <w:pPr>
        <w:pStyle w:val="Heading2"/>
      </w:pPr>
      <w:r>
        <w:t xml:space="preserve">II. Research Problem Statement</w:t>
      </w:r>
    </w:p>
    <w:p>
      <w:pPr>
        <w:pStyle w:val="FirstParagraph"/>
      </w:pPr>
      <w:r>
        <w:t xml:space="preserve">Bangkok's economy faces unprecedented dual pressures: the legacy of manufacturing-driven growth versus the imperative of digital transformation. The city currently grapples with structural challenges including income inequality, infrastructure strain from rapid urbanization, and vulnerability to global supply chain disruptions—all compounded by Thailand's demographic shift toward an aging population. Crucially, existing economic models fail to adequately capture Bangkok's distinctive hybrid economy where traditional markets coexist with tech-driven innovation districts like Silicon Valley of the East (SVOE) in Siam Square. This research addresses a critical gap: the absence of localized economic frameworks that enable</w:t>
      </w:r>
      <w:r>
        <w:t xml:space="preserve"> </w:t>
      </w:r>
      <w:r>
        <w:rPr>
          <w:bCs/>
          <w:b/>
        </w:rPr>
        <w:t xml:space="preserve">Economist</w:t>
      </w:r>
      <w:r>
        <w:t xml:space="preserve">s to design context-specific policies for Thailand's urban center.</w:t>
      </w:r>
    </w:p>
    <w:bookmarkEnd w:id="21"/>
    <w:bookmarkStart w:id="22" w:name="iii.-research-objectives"/>
    <w:p>
      <w:pPr>
        <w:pStyle w:val="Heading2"/>
      </w:pPr>
      <w:r>
        <w:t xml:space="preserve">III. Research Objectives</w:t>
      </w:r>
    </w:p>
    <w:p>
      <w:pPr>
        <w:numPr>
          <w:ilvl w:val="0"/>
          <w:numId w:val="1001"/>
        </w:numPr>
        <w:pStyle w:val="Compact"/>
      </w:pPr>
      <w:r>
        <w:t xml:space="preserve">To develop a Bangkok-Specific Economic Resilience Index (B-ERI) measuring vulnerability across 15 key sectors including tourism, manufacturing, fintech, and informal labor markets.</w:t>
      </w:r>
    </w:p>
    <w:p>
      <w:pPr>
        <w:numPr>
          <w:ilvl w:val="0"/>
          <w:numId w:val="1001"/>
        </w:numPr>
        <w:pStyle w:val="Compact"/>
      </w:pPr>
      <w:r>
        <w:t xml:space="preserve">To analyze the causal relationship between Thailand's national policy frameworks (e.g., Thailand 4.0) and microeconomic outcomes in Bangkok districts using geospatial econometrics.</w:t>
      </w:r>
    </w:p>
    <w:p>
      <w:pPr>
        <w:numPr>
          <w:ilvl w:val="0"/>
          <w:numId w:val="1001"/>
        </w:numPr>
        <w:pStyle w:val="Compact"/>
      </w:pPr>
      <w:r>
        <w:t xml:space="preserve">To create a predictive model forecasting how ASEAN integration impacts Bangkok's export-oriented SMEs, incorporating real-time data from the Stock Exchange of Thailand (SET).</w:t>
      </w:r>
    </w:p>
    <w:p>
      <w:pPr>
        <w:numPr>
          <w:ilvl w:val="0"/>
          <w:numId w:val="1001"/>
        </w:numPr>
        <w:pStyle w:val="Compact"/>
      </w:pPr>
      <w:r>
        <w:t xml:space="preserve">To establish best practices for</w:t>
      </w:r>
      <w:r>
        <w:t xml:space="preserve"> </w:t>
      </w:r>
      <w:r>
        <w:rPr>
          <w:bCs/>
          <w:b/>
        </w:rPr>
        <w:t xml:space="preserve">Economist</w:t>
      </w:r>
      <w:r>
        <w:t xml:space="preserve">s in Thailand to translate complex economic data into actionable policy briefs for municipal and national stakeholders.</w:t>
      </w:r>
    </w:p>
    <w:bookmarkEnd w:id="22"/>
    <w:bookmarkStart w:id="23" w:name="iv.-literature-review-contextualization"/>
    <w:p>
      <w:pPr>
        <w:pStyle w:val="Heading2"/>
      </w:pPr>
      <w:r>
        <w:t xml:space="preserve">IV. Literature Review Contextualization</w:t>
      </w:r>
    </w:p>
    <w:p>
      <w:pPr>
        <w:pStyle w:val="FirstParagraph"/>
      </w:pPr>
      <w:r>
        <w:t xml:space="preserve">While extensive literature exists on Thailand's macroeconomy (e.g., World Bank reports on "Thailand: Economic Outlook"), current studies lack granular focus on Bangkok's urban economic ecology. Recent work by the Asian Development Bank (2023) acknowledges Bangkok as a "critical node in regional supply chains" but fails to model intra-city economic disparities. This research builds upon Professor Chirathivat's seminal work on Thai labor markets (2021) while addressing his call for "place-based economic analysis." Crucially, it integrates new methodologies pioneered by MIT's Urban Economics Lab, adapting them to Bangkok's cultural and institutional realities—a necessity for any</w:t>
      </w:r>
      <w:r>
        <w:t xml:space="preserve"> </w:t>
      </w:r>
      <w:r>
        <w:rPr>
          <w:bCs/>
          <w:b/>
        </w:rPr>
        <w:t xml:space="preserve">Economist</w:t>
      </w:r>
      <w:r>
        <w:t xml:space="preserve"> </w:t>
      </w:r>
      <w:r>
        <w:t xml:space="preserve">operating in Thailand.</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pStyle w:val="BodyText"/>
      </w:pPr>
      <w:r>
        <w:rPr>
          <w:bCs/>
          <w:b/>
        </w:rPr>
        <w:t xml:space="preserve">Quantitative Analysis:</w:t>
      </w:r>
      <w:r>
        <w:t xml:space="preserve"> </w:t>
      </w:r>
      <w:r>
        <w:t xml:space="preserve">Machine learning models (LSTM networks) will process 10 years of Bangkok-specific datasets from the National Economic and Social Development Board (NESDB), including:</w:t>
      </w:r>
    </w:p>
    <w:p>
      <w:pPr>
        <w:numPr>
          <w:ilvl w:val="0"/>
          <w:numId w:val="1002"/>
        </w:numPr>
        <w:pStyle w:val="Compact"/>
      </w:pPr>
      <w:r>
        <w:t xml:space="preserve">District-level GDP contributions</w:t>
      </w:r>
    </w:p>
    <w:p>
      <w:pPr>
        <w:numPr>
          <w:ilvl w:val="0"/>
          <w:numId w:val="1002"/>
        </w:numPr>
        <w:pStyle w:val="Compact"/>
      </w:pPr>
      <w:r>
        <w:t xml:space="preserve">Foreign Direct Investment flows to BMA zones</w:t>
      </w:r>
    </w:p>
    <w:p>
      <w:pPr>
        <w:numPr>
          <w:ilvl w:val="0"/>
          <w:numId w:val="1002"/>
        </w:numPr>
        <w:pStyle w:val="Compact"/>
      </w:pPr>
      <w:r>
        <w:t xml:space="preserve">Transportation network utilization patterns</w:t>
      </w:r>
    </w:p>
    <w:p>
      <w:pPr>
        <w:pStyle w:val="FirstParagraph"/>
      </w:pPr>
      <w:r>
        <w:rPr>
          <w:bCs/>
          <w:b/>
        </w:rPr>
        <w:t xml:space="preserve">Qualitative Component:</w:t>
      </w:r>
    </w:p>
    <w:p>
      <w:pPr>
        <w:numPr>
          <w:ilvl w:val="0"/>
          <w:numId w:val="1003"/>
        </w:numPr>
        <w:pStyle w:val="Compact"/>
      </w:pPr>
      <w:r>
        <w:t xml:space="preserve">Focused group discussions with 120 SME owners across Bangkok's 50 districts (stratified by sector/size)</w:t>
      </w:r>
    </w:p>
    <w:p>
      <w:pPr>
        <w:numPr>
          <w:ilvl w:val="0"/>
          <w:numId w:val="1003"/>
        </w:numPr>
        <w:pStyle w:val="Compact"/>
      </w:pPr>
      <w:r>
        <w:t xml:space="preserve">Policy-maker interviews with 25 stakeholders including Bank of Thailand economists, Bangkok Metropolitan Administration officials, and Ministry of Commerce representatives</w:t>
      </w:r>
    </w:p>
    <w:p>
      <w:pPr>
        <w:pStyle w:val="FirstParagraph"/>
      </w:pPr>
      <w:r>
        <w:rPr>
          <w:bCs/>
          <w:b/>
        </w:rPr>
        <w:t xml:space="preserve">Field Experiment:</w:t>
      </w:r>
    </w:p>
    <w:p>
      <w:pPr>
        <w:numPr>
          <w:ilvl w:val="0"/>
          <w:numId w:val="1004"/>
        </w:numPr>
        <w:pStyle w:val="Compact"/>
      </w:pPr>
      <w:r>
        <w:t xml:space="preserve">A randomized control trial testing policy simulation tools with the Bangkok Chamber of Commerce (BCOC) to validate model accuracy</w:t>
      </w:r>
    </w:p>
    <w:bookmarkEnd w:id="24"/>
    <w:bookmarkStart w:id="25" w:name="X210781050951b099b3075881bf68d38f1662eaf"/>
    <w:p>
      <w:pPr>
        <w:pStyle w:val="Heading2"/>
      </w:pPr>
      <w:r>
        <w:t xml:space="preserve">VI. Significance for Thailand and Regional Economics</w:t>
      </w:r>
    </w:p>
    <w:p>
      <w:pPr>
        <w:pStyle w:val="FirstParagraph"/>
      </w:pPr>
      <w:r>
        <w:t xml:space="preserve">This research directly addresses Thailand's national priority of "Innovation-Driven Economic Transformation" under the National Economic and Social Development Plan (NESDP) 2023-2027. By creating Bangkok-specific economic indicators, it equips Thai</w:t>
      </w:r>
      <w:r>
        <w:t xml:space="preserve"> </w:t>
      </w:r>
      <w:r>
        <w:rPr>
          <w:bCs/>
          <w:b/>
        </w:rPr>
        <w:t xml:space="preserve">Economist</w:t>
      </w:r>
      <w:r>
        <w:t xml:space="preserve">s with tools to counterbalance generic ASEAN frameworks that often overlook city-level nuances. The B-ERI model will serve as a prototype for other Southeast Asian metropolises (e.g., Ho Chi Minh City, Manila), establishing Thailand as a regional leader in urban economic analytics. Critically, the findings will directly inform the upcoming "Bangkok Smart City Master Plan 2030" and provide actionable data for Thailand's Ministry of Finance.</w:t>
      </w:r>
    </w:p>
    <w:bookmarkEnd w:id="25"/>
    <w:bookmarkStart w:id="26" w:name="X7ebc32bc4cd7c0d9ad1de94993dbdb077b7f5cc"/>
    <w:p>
      <w:pPr>
        <w:pStyle w:val="Heading2"/>
      </w:pPr>
      <w:r>
        <w:t xml:space="preserve">VII. Expected Outcomes and Dissemination Strategy</w:t>
      </w:r>
    </w:p>
    <w:p>
      <w:pPr>
        <w:pStyle w:val="FirstParagraph"/>
      </w:pPr>
      <w:r>
        <w:t xml:space="preserve">The project will deliver three tangible outputs:</w:t>
      </w:r>
    </w:p>
    <w:p>
      <w:pPr>
        <w:numPr>
          <w:ilvl w:val="0"/>
          <w:numId w:val="1005"/>
        </w:numPr>
        <w:pStyle w:val="Compact"/>
      </w:pPr>
      <w:r>
        <w:rPr>
          <w:bCs/>
          <w:b/>
        </w:rPr>
        <w:t xml:space="preserve">Open-Source Bangkok Economic Dashboard:</w:t>
      </w:r>
      <w:r>
        <w:t xml:space="preserve"> </w:t>
      </w:r>
      <w:r>
        <w:t xml:space="preserve">Real-time visualization platform for policymakers, accessible via the Thailand Digital Government Portal.</w:t>
      </w:r>
    </w:p>
    <w:p>
      <w:pPr>
        <w:numPr>
          <w:ilvl w:val="0"/>
          <w:numId w:val="1005"/>
        </w:numPr>
        <w:pStyle w:val="Compact"/>
      </w:pPr>
      <w:r>
        <w:rPr>
          <w:bCs/>
          <w:b/>
        </w:rPr>
        <w:t xml:space="preserve">Economist Toolkit for Urban Policy Design:</w:t>
      </w:r>
      <w:r>
        <w:t xml:space="preserve"> </w:t>
      </w:r>
      <w:r>
        <w:t xml:space="preserve">A practical guide with case studies (e.g., "How to assess tourism recovery impacts on Silom district labor markets") developed in collaboration with Chulalongkorn University's Economics Department.</w:t>
      </w:r>
    </w:p>
    <w:p>
      <w:pPr>
        <w:numPr>
          <w:ilvl w:val="0"/>
          <w:numId w:val="1005"/>
        </w:numPr>
        <w:pStyle w:val="Compact"/>
      </w:pPr>
      <w:r>
        <w:rPr>
          <w:bCs/>
          <w:b/>
        </w:rPr>
        <w:t xml:space="preserve">Policy White Paper:</w:t>
      </w:r>
      <w:r>
        <w:t xml:space="preserve"> </w:t>
      </w:r>
      <w:r>
        <w:t xml:space="preserve">Targeted at Thailand’s National Economic Council, addressing four priority areas: infrastructure financing, digital talent development, informal economy inclusion, and climate-resilient urban planning.</w:t>
      </w:r>
    </w:p>
    <w:p>
      <w:pPr>
        <w:pStyle w:val="FirstParagraph"/>
      </w:pPr>
      <w:r>
        <w:t xml:space="preserve">Dissemination will occur through high-impact channels: Thailand's Prime Minister's Office briefings, the ASEAN Economic Community (AEC) Policy Dialogues in Bangkok, and academic publication in journals like the</w:t>
      </w:r>
      <w:r>
        <w:t xml:space="preserve"> </w:t>
      </w:r>
      <w:r>
        <w:rPr>
          <w:iCs/>
          <w:i/>
        </w:rPr>
        <w:t xml:space="preserve">Journal of Southeast Asian Economies</w:t>
      </w:r>
      <w:r>
        <w:t xml:space="preserve">. Crucially, all findings will be translated into Thai for local government adoption—ensuring the</w:t>
      </w:r>
      <w:r>
        <w:t xml:space="preserve"> </w:t>
      </w:r>
      <w:r>
        <w:rPr>
          <w:bCs/>
          <w:b/>
        </w:rPr>
        <w:t xml:space="preserve">Economist</w:t>
      </w:r>
      <w:r>
        <w:t xml:space="preserve">'s work transcends academic circles to drive tangible change.</w:t>
      </w:r>
    </w:p>
    <w:bookmarkEnd w:id="26"/>
    <w:bookmarkStart w:id="27" w:name="viii.-timeline-and-resource-requirements"/>
    <w:p>
      <w:pPr>
        <w:pStyle w:val="Heading2"/>
      </w:pPr>
      <w:r>
        <w:t xml:space="preserve">VIII. Timeline and Resource Requirements</w:t>
      </w:r>
    </w:p>
    <w:p>
      <w:pPr>
        <w:pStyle w:val="FirstParagraph"/>
      </w:pPr>
      <w:r>
        <w:t xml:space="preserve">The 18-month project will operate within Bangkok's economic calendar, aligning with fiscal policy cycles:</w:t>
      </w:r>
    </w:p>
    <w:p>
      <w:pPr>
        <w:numPr>
          <w:ilvl w:val="0"/>
          <w:numId w:val="1006"/>
        </w:numPr>
        <w:pStyle w:val="Compact"/>
      </w:pPr>
      <w:r>
        <w:rPr>
          <w:bCs/>
          <w:b/>
        </w:rPr>
        <w:t xml:space="preserve">Months 1-4:</w:t>
      </w:r>
      <w:r>
        <w:t xml:space="preserve"> </w:t>
      </w:r>
      <w:r>
        <w:t xml:space="preserve">Data acquisition from NESDB, SET, and BMA; stakeholder mapping.</w:t>
      </w:r>
    </w:p>
    <w:p>
      <w:pPr>
        <w:numPr>
          <w:ilvl w:val="0"/>
          <w:numId w:val="1006"/>
        </w:numPr>
        <w:pStyle w:val="Compact"/>
      </w:pPr>
      <w:r>
        <w:rPr>
          <w:bCs/>
          <w:b/>
        </w:rPr>
        <w:t xml:space="preserve">Months 5-10:</w:t>
      </w:r>
      <w:r>
        <w:t xml:space="preserve"> </w:t>
      </w:r>
      <w:r>
        <w:t xml:space="preserve">Field research in Bangkok districts (covering all 50 wards), model development.</w:t>
      </w:r>
    </w:p>
    <w:p>
      <w:pPr>
        <w:numPr>
          <w:ilvl w:val="0"/>
          <w:numId w:val="1006"/>
        </w:numPr>
        <w:pStyle w:val="Compact"/>
      </w:pPr>
      <w:r>
        <w:rPr>
          <w:bCs/>
          <w:b/>
        </w:rPr>
        <w:t xml:space="preserve">Months 11-14:</w:t>
      </w:r>
      <w:r>
        <w:t xml:space="preserve"> </w:t>
      </w:r>
      <w:r>
        <w:t xml:space="preserve">Validation through BCOC policy simulations and academic peer review.</w:t>
      </w:r>
    </w:p>
    <w:p>
      <w:pPr>
        <w:numPr>
          <w:ilvl w:val="0"/>
          <w:numId w:val="1006"/>
        </w:numPr>
        <w:pStyle w:val="Compact"/>
      </w:pPr>
      <w:r>
        <w:rPr>
          <w:bCs/>
          <w:b/>
        </w:rPr>
        <w:t xml:space="preserve">Months 15-18:</w:t>
      </w:r>
      <w:r>
        <w:t xml:space="preserve"> </w:t>
      </w:r>
      <w:r>
        <w:t xml:space="preserve">Tool finalization, Thai-language adaptation, and national policy briefings.</w:t>
      </w:r>
    </w:p>
    <w:p>
      <w:pPr>
        <w:pStyle w:val="FirstParagraph"/>
      </w:pPr>
      <w:r>
        <w:t xml:space="preserve">Required resources include: $245,000 USD for data licensing (NESDB/SET access), $78,000 for fieldwork personnel in Bangkok (including local research assistants fluent in Thai), and $32,000 for computational infrastructure. All funding will be sourced through the Thailand Research Fund with co-investment from the Asian Development Bank's Urban Economics Unit.</w:t>
      </w:r>
    </w:p>
    <w:bookmarkEnd w:id="27"/>
    <w:bookmarkStart w:id="28" w:name="X16048fb24ae96e5dce35266c6b9f7fd39db64db"/>
    <w:p>
      <w:pPr>
        <w:pStyle w:val="Heading2"/>
      </w:pPr>
      <w:r>
        <w:t xml:space="preserve">IX. Conclusion: The Economist as Catalyst for Bangkok's Future</w:t>
      </w:r>
    </w:p>
    <w:p>
      <w:pPr>
        <w:pStyle w:val="FirstParagraph"/>
      </w:pPr>
      <w:r>
        <w:t xml:space="preserve">This research positions the</w:t>
      </w:r>
      <w:r>
        <w:t xml:space="preserve"> </w:t>
      </w:r>
      <w:r>
        <w:rPr>
          <w:bCs/>
          <w:b/>
        </w:rPr>
        <w:t xml:space="preserve">Economist</w:t>
      </w:r>
      <w:r>
        <w:t xml:space="preserve"> </w:t>
      </w:r>
      <w:r>
        <w:t xml:space="preserve">not merely as an analyst but as a pivotal architect of Thailand's economic future. By grounding sophisticated methodology in Bangkok's unique urban reality—from the floating markets of Khlong Saen Saep to the fintech clusters of Ratchadaphisek—the project will redefine how economic insights are generated and applied in Thailand. As Bangkok navigates its transition from "Gateway City" to "Innovation Capital," this proposal delivers the evidence base required for policymakers, business leaders, and communities to build inclusive growth. The success of this research will cement Thailand's reputation as a leader in context-sensitive economic science—a legacy no</w:t>
      </w:r>
      <w:r>
        <w:t xml:space="preserve"> </w:t>
      </w:r>
      <w:r>
        <w:rPr>
          <w:bCs/>
          <w:b/>
        </w:rPr>
        <w:t xml:space="preserve">Economist</w:t>
      </w:r>
      <w:r>
        <w:t xml:space="preserve"> </w:t>
      </w:r>
      <w:r>
        <w:t xml:space="preserve">operating in Southeast Asia can afford to overlook.</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Formulation in Bangkok, Thailand</dc:title>
  <dc:creator/>
  <dc:language>en</dc:language>
  <cp:keywords/>
  <dcterms:created xsi:type="dcterms:W3CDTF">2026-06-02T19:58:33Z</dcterms:created>
  <dcterms:modified xsi:type="dcterms:W3CDTF">2026-06-02T19:58:33Z</dcterms:modified>
</cp:coreProperties>
</file>

<file path=docProps/custom.xml><?xml version="1.0" encoding="utf-8"?>
<Properties xmlns="http://schemas.openxmlformats.org/officeDocument/2006/custom-properties" xmlns:vt="http://schemas.openxmlformats.org/officeDocument/2006/docPropsVTypes"/>
</file>