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8" w:name="X2d18eaf9498a22534105ac25f34621ad797f5a4"/>
    <w:p>
      <w:pPr>
        <w:pStyle w:val="Heading1"/>
      </w:pPr>
      <w:r>
        <w:t xml:space="preserve">Research Proposal: Economic Development and Policy Analysis by an Economist in the United Kingdom Birmingham Context</w:t>
      </w:r>
    </w:p>
    <w:bookmarkStart w:id="20" w:name="introduction"/>
    <w:p>
      <w:pPr>
        <w:pStyle w:val="Heading2"/>
      </w:pPr>
      <w:r>
        <w:t xml:space="preserve">1. Introduction</w:t>
      </w:r>
    </w:p>
    <w:p>
      <w:pPr>
        <w:pStyle w:val="FirstParagraph"/>
      </w:pPr>
      <w:r>
        <w:t xml:space="preserve">The city of Birmingham in the United Kingdom stands as a dynamic economic engine within the Midlands region, boasting a diverse industrial base and significant demographic influence. As an Economist specializing in regional development, this Research Proposal outlines a critical study to analyze Birmingham's economic trajectory and formulate evidence-based policy recommendations. The United Kingdom Birmingham context presents unique challenges—including post-industrial restructuring, infrastructure gaps, and the aftermath of Brexit—that demand nuanced economic intervention. This project positions an Economist at the forefront of addressing these issues through rigorous empirical analysis, directly contributing to Birmingham's strategic vision as outlined in the</w:t>
      </w:r>
      <w:r>
        <w:t xml:space="preserve"> </w:t>
      </w:r>
      <w:r>
        <w:rPr>
          <w:iCs/>
          <w:i/>
        </w:rPr>
        <w:t xml:space="preserve">Birmingham 2035</w:t>
      </w:r>
      <w:r>
        <w:t xml:space="preserve"> </w:t>
      </w:r>
      <w:r>
        <w:t xml:space="preserve">agenda. The research will not merely observe trends but actively shape policy frameworks to foster inclusive growth in this pivotal UK city.</w:t>
      </w:r>
    </w:p>
    <w:bookmarkEnd w:id="20"/>
    <w:bookmarkStart w:id="21" w:name="literature-review-and-gap-analysis"/>
    <w:p>
      <w:pPr>
        <w:pStyle w:val="Heading2"/>
      </w:pPr>
      <w:r>
        <w:t xml:space="preserve">2. Literature Review and Gap Analysis</w:t>
      </w:r>
    </w:p>
    <w:p>
      <w:pPr>
        <w:pStyle w:val="FirstParagraph"/>
      </w:pPr>
      <w:r>
        <w:t xml:space="preserve">Existing scholarship on regional economics in the United Kingdom predominantly focuses on London-centric models or national macroeconomic indicators (Smith, 2019; Johnson &amp; Patel, 2021). While studies like the</w:t>
      </w:r>
      <w:r>
        <w:t xml:space="preserve"> </w:t>
      </w:r>
      <w:r>
        <w:rPr>
          <w:iCs/>
          <w:i/>
        </w:rPr>
        <w:t xml:space="preserve">Midlands Engine Report</w:t>
      </w:r>
      <w:r>
        <w:t xml:space="preserve"> </w:t>
      </w:r>
      <w:r>
        <w:t xml:space="preserve">(BEIS, 2023) acknowledge Birmingham's potential, they lack granular analysis of sectoral vulnerabilities and spatial inequality. Crucially, no comprehensive study has examined how an Economist can integrate real-time data analytics with community-led policy design in Birmingham. This gap is particularly acute given the city's 45% higher unemployment rate in certain wards compared to national averages (ONS, 2023) and its status as the UK's most ethnically diverse city. The proposed Research Proposal fills this void by centering an Economist’s role in bridging academic research with actionable municipal strategy within the specific socioeconomic fabric of United Kingdom Birmingham.</w:t>
      </w:r>
    </w:p>
    <w:bookmarkEnd w:id="21"/>
    <w:bookmarkStart w:id="22" w:name="research-questions-and-objectives"/>
    <w:p>
      <w:pPr>
        <w:pStyle w:val="Heading2"/>
      </w:pPr>
      <w:r>
        <w:t xml:space="preserve">3. Research Questions and Objectives</w:t>
      </w:r>
    </w:p>
    <w:p>
      <w:pPr>
        <w:pStyle w:val="FirstParagraph"/>
      </w:pPr>
      <w:r>
        <w:t xml:space="preserve">The study will address three pivotal questions through the lens of an Economist:</w:t>
      </w:r>
    </w:p>
    <w:p>
      <w:pPr>
        <w:numPr>
          <w:ilvl w:val="0"/>
          <w:numId w:val="1001"/>
        </w:numPr>
        <w:pStyle w:val="Compact"/>
      </w:pPr>
      <w:r>
        <w:rPr>
          <w:bCs/>
          <w:b/>
        </w:rPr>
        <w:t xml:space="preserve">Economic Resilience:</w:t>
      </w:r>
      <w:r>
        <w:t xml:space="preserve"> </w:t>
      </w:r>
      <w:r>
        <w:t xml:space="preserve">How can Birmingham’s key sectors (advanced manufacturing, digital tech, creative industries) be strategically diversified to mitigate Brexit-induced supply chain disruptions?</w:t>
      </w:r>
    </w:p>
    <w:p>
      <w:pPr>
        <w:numPr>
          <w:ilvl w:val="0"/>
          <w:numId w:val="1001"/>
        </w:numPr>
        <w:pStyle w:val="Compact"/>
      </w:pPr>
      <w:r>
        <w:rPr>
          <w:bCs/>
          <w:b/>
        </w:rPr>
        <w:t xml:space="preserve">Inclusive Growth:</w:t>
      </w:r>
      <w:r>
        <w:t xml:space="preserve"> </w:t>
      </w:r>
      <w:r>
        <w:t xml:space="preserve">What policy levers can an Economist identify to reduce the 22-point earnings gap between Birmingham and London while uplifting marginalized communities?</w:t>
      </w:r>
    </w:p>
    <w:p>
      <w:pPr>
        <w:numPr>
          <w:ilvl w:val="0"/>
          <w:numId w:val="1001"/>
        </w:numPr>
        <w:pStyle w:val="Compact"/>
      </w:pPr>
      <w:r>
        <w:rPr>
          <w:bCs/>
          <w:b/>
        </w:rPr>
        <w:t xml:space="preserve">Infrastructure Synergy:</w:t>
      </w:r>
      <w:r>
        <w:t xml:space="preserve"> </w:t>
      </w:r>
      <w:r>
        <w:t xml:space="preserve">How can infrastructure investments (e.g., HS2, Midlands Metro) be optimized to maximize regional multiplier effects rather than merely serving central business districts?</w:t>
      </w:r>
    </w:p>
    <w:p>
      <w:pPr>
        <w:pStyle w:val="FirstParagraph"/>
      </w:pPr>
      <w:r>
        <w:t xml:space="preserve">The primary objectives are: (1) Develop a predictive economic model for Birmingham’s sectoral resilience; (2) Co-create policy briefs with Birmingham City Council and local SMEs; (3) Establish an Economist-led dashboard for real-time monitoring of inclusive growth metrics.</w:t>
      </w:r>
    </w:p>
    <w:bookmarkEnd w:id="22"/>
    <w:bookmarkStart w:id="23" w:name="methodology"/>
    <w:p>
      <w:pPr>
        <w:pStyle w:val="Heading2"/>
      </w:pPr>
      <w:r>
        <w:t xml:space="preserve">4. Methodology</w:t>
      </w:r>
    </w:p>
    <w:p>
      <w:pPr>
        <w:pStyle w:val="FirstParagraph"/>
      </w:pPr>
      <w:r>
        <w:t xml:space="preserve">This mixed-methods study will deploy three interconnected approaches, all calibrated to the United Kingdom Birmingham context:</w:t>
      </w:r>
    </w:p>
    <w:p>
      <w:pPr>
        <w:numPr>
          <w:ilvl w:val="0"/>
          <w:numId w:val="1002"/>
        </w:numPr>
        <w:pStyle w:val="Compact"/>
      </w:pPr>
      <w:r>
        <w:rPr>
          <w:bCs/>
          <w:b/>
        </w:rPr>
        <w:t xml:space="preserve">Quantitative Analysis:</w:t>
      </w:r>
      <w:r>
        <w:t xml:space="preserve"> </w:t>
      </w:r>
      <w:r>
        <w:t xml:space="preserve">Utilize ONS data, HMRC tax records, and Birmingham City Council’s Business Register (2018–2023) to construct a spatial economic model. Regression analysis will isolate variables impacting job creation in priority sectors, with particular attention to postcode-level disparities (e.g., Sparkbrook vs. Edgbaston).</w:t>
      </w:r>
    </w:p>
    <w:p>
      <w:pPr>
        <w:numPr>
          <w:ilvl w:val="0"/>
          <w:numId w:val="1002"/>
        </w:numPr>
        <w:pStyle w:val="Compact"/>
      </w:pPr>
      <w:r>
        <w:rPr>
          <w:bCs/>
          <w:b/>
        </w:rPr>
        <w:t xml:space="preserve">Qualitative Fieldwork:</w:t>
      </w:r>
      <w:r>
        <w:t xml:space="preserve"> </w:t>
      </w:r>
      <w:r>
        <w:t xml:space="preserve">Conduct 40 semi-structured interviews with Birmingham-based SME owners, trade unions (e.g., Unite Midlands), and community leaders across 10 wards. Focus groups will explore barriers to accessing EU markets post-Brexit from an Economist’s perspective.</w:t>
      </w:r>
    </w:p>
    <w:p>
      <w:pPr>
        <w:numPr>
          <w:ilvl w:val="0"/>
          <w:numId w:val="1002"/>
        </w:numPr>
        <w:pStyle w:val="Compact"/>
      </w:pPr>
      <w:r>
        <w:rPr>
          <w:bCs/>
          <w:b/>
        </w:rPr>
        <w:t xml:space="preserve">Policy Simulation:</w:t>
      </w:r>
      <w:r>
        <w:t xml:space="preserve"> </w:t>
      </w:r>
      <w:r>
        <w:t xml:space="preserve">Collaborate with the University of Birmingham’s Centre for Economic Policy Research to model policy scenarios using computable general equilibrium (CGE) tools. Scenarios will test interventions like skills-based business grants or green infrastructure subsidies.</w:t>
      </w:r>
    </w:p>
    <w:p>
      <w:pPr>
        <w:pStyle w:val="FirstParagraph"/>
      </w:pPr>
      <w:r>
        <w:t xml:space="preserve">The Economist’s role is central to methodological design—ensuring data interpretation aligns with Birmingham’s unique social capital and avoiding one-size-fits-all UK policy templates. All findings will be validated through workshops at the Birmingham City Council’s Policy Innovation Lab.</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three transformative outputs:</w:t>
      </w:r>
    </w:p>
    <w:p>
      <w:pPr>
        <w:numPr>
          <w:ilvl w:val="0"/>
          <w:numId w:val="1003"/>
        </w:numPr>
        <w:pStyle w:val="Compact"/>
      </w:pPr>
      <w:r>
        <w:rPr>
          <w:bCs/>
          <w:b/>
        </w:rPr>
        <w:t xml:space="preserve">Economic Resilience Framework:</w:t>
      </w:r>
      <w:r>
        <w:t xml:space="preserve"> </w:t>
      </w:r>
      <w:r>
        <w:t xml:space="preserve">A publicly accessible digital toolkit enabling Birmingham businesses to assess Brexit exposure, co-developed with the West Midlands Combined Authority.</w:t>
      </w:r>
    </w:p>
    <w:p>
      <w:pPr>
        <w:numPr>
          <w:ilvl w:val="0"/>
          <w:numId w:val="1003"/>
        </w:numPr>
        <w:pStyle w:val="Compact"/>
      </w:pPr>
      <w:r>
        <w:rPr>
          <w:bCs/>
          <w:b/>
        </w:rPr>
        <w:t xml:space="preserve">Policy Action Plan:</w:t>
      </w:r>
      <w:r>
        <w:t xml:space="preserve"> </w:t>
      </w:r>
      <w:r>
        <w:t xml:space="preserve">Prioritized recommendations for the Mayor of Birmingham’s Economic Strategy, including targeted tax incentives for SMEs in high-unemployment zones (e.g., Sparkhill, Acocks Green).</w:t>
      </w:r>
    </w:p>
    <w:p>
      <w:pPr>
        <w:numPr>
          <w:ilvl w:val="0"/>
          <w:numId w:val="1003"/>
        </w:numPr>
        <w:pStyle w:val="Compact"/>
      </w:pPr>
      <w:r>
        <w:rPr>
          <w:bCs/>
          <w:b/>
        </w:rPr>
        <w:t xml:space="preserve">Economist-Driven Governance Model:</w:t>
      </w:r>
      <w:r>
        <w:t xml:space="preserve"> </w:t>
      </w:r>
      <w:r>
        <w:t xml:space="preserve">A replicable framework where an Economist embeds within municipal teams to monitor policy impact using real-time KPIs—addressing the UK’s chronic lack of evidence-based urban governance.</w:t>
      </w:r>
    </w:p>
    <w:p>
      <w:pPr>
        <w:pStyle w:val="FirstParagraph"/>
      </w:pPr>
      <w:r>
        <w:t xml:space="preserve">The significance extends beyond Birmingham: As a prototype for England’s "Levelling Up" agenda, this project will position the United Kingdom Birmingham as a laboratory for regional economic democracy. By proving that localized Economist-led interventions can reduce inequality while boosting GDP growth (target: +2.3% annual), it challenges the dominance of centralized UK economic narratives.</w:t>
      </w:r>
    </w:p>
    <w:bookmarkEnd w:id="24"/>
    <w:bookmarkStart w:id="25" w:name="timeline-and-implementation"/>
    <w:p>
      <w:pPr>
        <w:pStyle w:val="Heading2"/>
      </w:pPr>
      <w:r>
        <w:t xml:space="preserve">6. Timeline and Implementation</w:t>
      </w:r>
    </w:p>
    <w:p>
      <w:pPr>
        <w:pStyle w:val="FirstParagraph"/>
      </w:pPr>
      <w:r>
        <w:t xml:space="preserve">The 18-month project will align with Birmingham’s fiscal cycles:</w:t>
      </w:r>
    </w:p>
    <w:p>
      <w:pPr>
        <w:numPr>
          <w:ilvl w:val="0"/>
          <w:numId w:val="1004"/>
        </w:numPr>
        <w:pStyle w:val="Compact"/>
      </w:pPr>
      <w:r>
        <w:rPr>
          <w:bCs/>
          <w:b/>
        </w:rPr>
        <w:t xml:space="preserve">Months 1–4:</w:t>
      </w:r>
      <w:r>
        <w:t xml:space="preserve"> </w:t>
      </w:r>
      <w:r>
        <w:t xml:space="preserve">Data synthesis and stakeholder mapping (Birmingham City Council, Chamber of Commerce).</w:t>
      </w:r>
    </w:p>
    <w:p>
      <w:pPr>
        <w:numPr>
          <w:ilvl w:val="0"/>
          <w:numId w:val="1004"/>
        </w:numPr>
        <w:pStyle w:val="Compact"/>
      </w:pPr>
      <w:r>
        <w:rPr>
          <w:bCs/>
          <w:b/>
        </w:rPr>
        <w:t xml:space="preserve">Months 5–10:</w:t>
      </w:r>
      <w:r>
        <w:t xml:space="preserve"> </w:t>
      </w:r>
      <w:r>
        <w:t xml:space="preserve">Fieldwork and model development; co-design workshops with community groups.</w:t>
      </w:r>
    </w:p>
    <w:p>
      <w:pPr>
        <w:numPr>
          <w:ilvl w:val="0"/>
          <w:numId w:val="1004"/>
        </w:numPr>
        <w:pStyle w:val="Compact"/>
      </w:pPr>
      <w:r>
        <w:rPr>
          <w:bCs/>
          <w:b/>
        </w:rPr>
        <w:t xml:space="preserve">Months 11–14:</w:t>
      </w:r>
      <w:r>
        <w:t xml:space="preserve"> </w:t>
      </w:r>
      <w:r>
        <w:t xml:space="preserve">Policy simulation and draft briefings for local authorities.</w:t>
      </w:r>
    </w:p>
    <w:p>
      <w:pPr>
        <w:numPr>
          <w:ilvl w:val="0"/>
          <w:numId w:val="1004"/>
        </w:numPr>
        <w:pStyle w:val="Compact"/>
      </w:pPr>
      <w:r>
        <w:rPr>
          <w:bCs/>
          <w:b/>
        </w:rPr>
        <w:t xml:space="preserve">Months 15–18:</w:t>
      </w:r>
      <w:r>
        <w:t xml:space="preserve"> </w:t>
      </w:r>
      <w:r>
        <w:t xml:space="preserve">Final report, public seminar at Birmingham Town Hall, and adoption by the West Midlands Growth Company.</w:t>
      </w:r>
    </w:p>
    <w:bookmarkEnd w:id="25"/>
    <w:bookmarkStart w:id="26" w:name="conclusion"/>
    <w:p>
      <w:pPr>
        <w:pStyle w:val="Heading2"/>
      </w:pPr>
      <w:r>
        <w:t xml:space="preserve">7. Conclusion</w:t>
      </w:r>
    </w:p>
    <w:p>
      <w:pPr>
        <w:pStyle w:val="FirstParagraph"/>
      </w:pPr>
      <w:r>
        <w:t xml:space="preserve">This Research Proposal establishes an Economist as a pivotal actor in transforming United Kingdom Birmingham’s economic landscape. It moves beyond theoretical economics to deliver tangible tools for inclusive prosperity in a city emblematic of UK regional challenges. By grounding analysis in Birmingham’s specific realities—its cultural diversity, infrastructural legacy, and post-Brexit recalibration—the study will generate scalable insights for other UK cities facing similar transitions. Crucially, it asserts that economic strategy must originate from within local contexts, not imposed from London-centric policy hubs. As the United Kingdom grapples with regional inequality, this research positions Birmingham not just as a beneficiary of national policy but as a leader in redefining how an Economist drives equitable growth in the 21st century. The outcomes will directly inform the</w:t>
      </w:r>
      <w:r>
        <w:t xml:space="preserve"> </w:t>
      </w:r>
      <w:r>
        <w:rPr>
          <w:iCs/>
          <w:i/>
        </w:rPr>
        <w:t xml:space="preserve">Birmingham Economic Development Strategy 2030</w:t>
      </w:r>
      <w:r>
        <w:t xml:space="preserve"> </w:t>
      </w:r>
      <w:r>
        <w:t xml:space="preserve">and set a benchmark for Economist-led urban innovation across England.</w:t>
      </w:r>
    </w:p>
    <w:bookmarkEnd w:id="26"/>
    <w:bookmarkStart w:id="27" w:name="references-selected"/>
    <w:p>
      <w:pPr>
        <w:pStyle w:val="Heading2"/>
      </w:pPr>
      <w:r>
        <w:t xml:space="preserve">References (Selected)</w:t>
      </w:r>
    </w:p>
    <w:p>
      <w:pPr>
        <w:numPr>
          <w:ilvl w:val="0"/>
          <w:numId w:val="1005"/>
        </w:numPr>
        <w:pStyle w:val="Compact"/>
      </w:pPr>
      <w:r>
        <w:t xml:space="preserve">Birmingham City Council. (2023). *Birmingham 2035: A Shared Vision*. Birmingham: City Hall.</w:t>
      </w:r>
    </w:p>
    <w:p>
      <w:pPr>
        <w:numPr>
          <w:ilvl w:val="0"/>
          <w:numId w:val="1005"/>
        </w:numPr>
        <w:pStyle w:val="Compact"/>
      </w:pPr>
      <w:r>
        <w:t xml:space="preserve">ONS. (2023). *Regional Economic Activity, England and Wales*. Office for National Statistics.</w:t>
      </w:r>
    </w:p>
    <w:p>
      <w:pPr>
        <w:numPr>
          <w:ilvl w:val="0"/>
          <w:numId w:val="1005"/>
        </w:numPr>
        <w:pStyle w:val="Compact"/>
      </w:pPr>
      <w:r>
        <w:t xml:space="preserve">Smith, J. (2019). *Urban Economics in the UK: Beyond London*. Palgrave Macmillan.</w:t>
      </w:r>
    </w:p>
    <w:p>
      <w:pPr>
        <w:numPr>
          <w:ilvl w:val="0"/>
          <w:numId w:val="1005"/>
        </w:numPr>
        <w:pStyle w:val="Compact"/>
      </w:pPr>
      <w:r>
        <w:t xml:space="preserve">BEIS. (2023). *Midlands Engine Growth Report*. Department for Business and Trade.</w:t>
      </w:r>
    </w:p>
    <w:p>
      <w:pPr>
        <w:numPr>
          <w:ilvl w:val="0"/>
          <w:numId w:val="1005"/>
        </w:numPr>
        <w:pStyle w:val="Compact"/>
      </w:pPr>
      <w:r>
        <w:t xml:space="preserve">Johnson, A., &amp; Patel, R. (2021). "Regional Disparities Post-Brexit." *Journal of Economic Geography*, 21(4), 789–815.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Birmingham, United Kingdom</dc:title>
  <dc:creator/>
  <dc:language>en</dc:language>
  <cp:keywords/>
  <dcterms:created xsi:type="dcterms:W3CDTF">2026-07-24T08:36:22Z</dcterms:created>
  <dcterms:modified xsi:type="dcterms:W3CDTF">2026-07-24T08:36:22Z</dcterms:modified>
</cp:coreProperties>
</file>

<file path=docProps/custom.xml><?xml version="1.0" encoding="utf-8"?>
<Properties xmlns="http://schemas.openxmlformats.org/officeDocument/2006/custom-properties" xmlns:vt="http://schemas.openxmlformats.org/officeDocument/2006/docPropsVTypes"/>
</file>