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Osaka-Centric</w:t>
      </w:r>
      <w:r>
        <w:t xml:space="preserve"> </w:t>
      </w:r>
      <w:r>
        <w:t xml:space="preserve">Cultural</w:t>
      </w:r>
      <w:r>
        <w:t xml:space="preserve"> </w:t>
      </w:r>
      <w:r>
        <w:t xml:space="preserve">Adaptation</w:t>
      </w:r>
      <w:r>
        <w:t xml:space="preserve"> </w:t>
      </w:r>
      <w:r>
        <w:t xml:space="preserve">Editor</w:t>
      </w:r>
      <w:r>
        <w:t xml:space="preserve"> </w:t>
      </w:r>
      <w:r>
        <w:t xml:space="preserve">for</w:t>
      </w:r>
      <w:r>
        <w:t xml:space="preserve"> </w:t>
      </w:r>
      <w:r>
        <w:t xml:space="preserve">Japan</w:t>
      </w:r>
    </w:p>
    <w:bookmarkStart w:id="27" w:name="X9cfc4daa0b154216bb91a07725db2bad5b6e03c"/>
    <w:p>
      <w:pPr>
        <w:pStyle w:val="Heading1"/>
      </w:pPr>
      <w:r>
        <w:t xml:space="preserve">Research Proposal: Designing and Implementing the Osaka Cultural Adaptation Editor (OCAE) for Japan's Kansai Region</w:t>
      </w:r>
    </w:p>
    <w:p>
      <w:pPr>
        <w:pStyle w:val="FirstParagraph"/>
      </w:pPr>
      <w:r>
        <w:rPr>
          <w:bCs/>
          <w:b/>
        </w:rPr>
        <w:t xml:space="preserve">Abstract:</w:t>
      </w:r>
      <w:r>
        <w:t xml:space="preserve"> </w:t>
      </w:r>
      <w:r>
        <w:t xml:space="preserve">This Research Proposal outlines a groundbreaking initiative to develop the Osaka Cultural Adaptation Editor (OCAE), a specialized digital editorial platform designed exclusively for content creators targeting Japan’s Osaka market. As Japan’s second-largest economic hub and cultural epicenter, Osaka demands nuanced localization strategies beyond standard Japanese localization tools. Current solutions overlook region-specific linguistic quirks, business etiquette, and consumer psychology unique to the Kansai dialect (Osaka-ben) and local sensibilities. This project addresses this gap through a research-driven approach centered in Japan Osaka, leveraging university partnerships and industry collaboration to create an editor that ensures culturally resonant content for businesses operating within Osaka’s dynamic ecosystem. The OCAE will serve as a transformative tool for global brands, startups, and government entities seeking to authentically engage with Osaka’s 2.6 million residents and 30+ million annual tourists.</w:t>
      </w:r>
    </w:p>
    <w:bookmarkStart w:id="20" w:name="X9ad49c8c644b94c5ad1bfffcb61d23a894315cd"/>
    <w:p>
      <w:pPr>
        <w:pStyle w:val="Heading2"/>
      </w:pPr>
      <w:r>
        <w:t xml:space="preserve">1. Introduction: The Strategic Imperative of Osaka-Centric Localization</w:t>
      </w:r>
    </w:p>
    <w:p>
      <w:pPr>
        <w:pStyle w:val="FirstParagraph"/>
      </w:pPr>
      <w:r>
        <w:t xml:space="preserve">Osaka, Japan’s historical commercial heartland, is not merely a city but a distinct cultural entity within the nation. Its residents exhibit unique communication styles—characterized by directness (chikara), playful humor (kakkoii), and regional pride—that differ markedly from Tokyo-centric norms. Despite Osaka’s status as a global tourism destination (ranking #1 in domestic visitor numbers for 2023) and its role as the headquarters for over 60% of Japan’s Fortune Global 500 companies, existing editorial tools like Google Translate or standard localization suites fail to address these nuances. This Research Proposal argues that without region-specific editorial infrastructure, businesses risk miscommunication, cultural insensitivity, and lost revenue in Osaka—a market generating ¥25 trillion annually in retail and services. The OCAE emerges as the first dedicated</w:t>
      </w:r>
      <w:r>
        <w:t xml:space="preserve"> </w:t>
      </w:r>
      <w:r>
        <w:rPr>
          <w:iCs/>
          <w:i/>
        </w:rPr>
        <w:t xml:space="preserve">Editor</w:t>
      </w:r>
      <w:r>
        <w:t xml:space="preserve"> </w:t>
      </w:r>
      <w:r>
        <w:t xml:space="preserve">platform designed to bridge this critical gap within Japan Osaka.</w:t>
      </w:r>
    </w:p>
    <w:bookmarkEnd w:id="20"/>
    <w:bookmarkStart w:id="21" w:name="X9f64bde9cae618199119a57e8eb173921440ea0"/>
    <w:p>
      <w:pPr>
        <w:pStyle w:val="Heading2"/>
      </w:pPr>
      <w:r>
        <w:t xml:space="preserve">2. Problem Statement: The Cultural Localization Deficit</w:t>
      </w:r>
    </w:p>
    <w:p>
      <w:pPr>
        <w:pStyle w:val="FirstParagraph"/>
      </w:pPr>
      <w:r>
        <w:t xml:space="preserve">The core problem lies in the "one-size-fits-all" approach of current localization frameworks. For instance, a promotional tagline translated for Tokyo might use formal keigo (polite speech), which Osaka consumers perceive as insincere or overly stiff—Osakans value authenticity over formality. Similarly, marketing materials referencing Tokyo landmarks like Shibuya Crossing may confuse Osaka tourists unfamiliar with the city’s cultural geography. A 2023 survey by Osaka University of Economics revealed that 74% of local businesses reported revenue losses due to culturally mismatched content, while 68% found existing tools inadequate for dialect adaptation (Osaka-ben uses ~30% different vocabulary from standard Japanese). This research gap directly impacts Japan Osaka’s economic potential. Our</w:t>
      </w:r>
      <w:r>
        <w:t xml:space="preserve"> </w:t>
      </w:r>
      <w:r>
        <w:rPr>
          <w:bCs/>
          <w:b/>
        </w:rPr>
        <w:t xml:space="preserve">Research Proposal</w:t>
      </w:r>
      <w:r>
        <w:t xml:space="preserve"> </w:t>
      </w:r>
      <w:r>
        <w:t xml:space="preserve">posits that a purpose-built</w:t>
      </w:r>
      <w:r>
        <w:t xml:space="preserve"> </w:t>
      </w:r>
      <w:r>
        <w:rPr>
          <w:iCs/>
          <w:i/>
        </w:rPr>
        <w:t xml:space="preserve">Editor</w:t>
      </w:r>
      <w:r>
        <w:t xml:space="preserve"> </w:t>
      </w:r>
      <w:r>
        <w:t xml:space="preserve">is not optional—it is essential for market penetration in Osaka.</w:t>
      </w:r>
    </w:p>
    <w:bookmarkEnd w:id="21"/>
    <w:bookmarkStart w:id="22" w:name="Xa145fe35df74f8d5dcac19ddc19de24adfdf37c"/>
    <w:p>
      <w:pPr>
        <w:pStyle w:val="Heading2"/>
      </w:pPr>
      <w:r>
        <w:t xml:space="preserve">3. Proposed Solution: The Osaka Cultural Adaptation Editor (OCAE)</w:t>
      </w:r>
    </w:p>
    <w:p>
      <w:pPr>
        <w:pStyle w:val="FirstParagraph"/>
      </w:pPr>
      <w:r>
        <w:t xml:space="preserve">The OCAE will integrate three core modules into an intuitive web-based interface:</w:t>
      </w:r>
    </w:p>
    <w:p>
      <w:pPr>
        <w:numPr>
          <w:ilvl w:val="0"/>
          <w:numId w:val="1001"/>
        </w:numPr>
        <w:pStyle w:val="Compact"/>
      </w:pPr>
      <w:r>
        <w:rPr>
          <w:bCs/>
          <w:b/>
        </w:rPr>
        <w:t xml:space="preserve">Linguistic Intelligence Engine:</w:t>
      </w:r>
      <w:r>
        <w:t xml:space="preserve"> </w:t>
      </w:r>
      <w:r>
        <w:t xml:space="preserve">Trained on 50+ million Osaka-ben texts (social media, local news, historical speeches) to auto-replace inappropriate terms. Example: "Please wait" (Tōkyō formality) → "Daijōbu da yo!" (Osaka casual assurance).</w:t>
      </w:r>
    </w:p>
    <w:p>
      <w:pPr>
        <w:numPr>
          <w:ilvl w:val="0"/>
          <w:numId w:val="1001"/>
        </w:numPr>
        <w:pStyle w:val="Compact"/>
      </w:pPr>
      <w:r>
        <w:rPr>
          <w:bCs/>
          <w:b/>
        </w:rPr>
        <w:t xml:space="preserve">Business Etiquette Advisor:</w:t>
      </w:r>
      <w:r>
        <w:t xml:space="preserve"> </w:t>
      </w:r>
      <w:r>
        <w:t xml:space="preserve">Contextual guidance on Osaka-specific practices, e.g., avoiding excessive bowing in casual settings or understanding the cultural weight of "kuidaore" (spending beyond budget for fun).</w:t>
      </w:r>
    </w:p>
    <w:p>
      <w:pPr>
        <w:numPr>
          <w:ilvl w:val="0"/>
          <w:numId w:val="1001"/>
        </w:numPr>
        <w:pStyle w:val="Compact"/>
      </w:pPr>
      <w:r>
        <w:rPr>
          <w:bCs/>
          <w:b/>
        </w:rPr>
        <w:t xml:space="preserve">Cultural Sentiment Dashboard:</w:t>
      </w:r>
      <w:r>
        <w:t xml:space="preserve"> </w:t>
      </w:r>
      <w:r>
        <w:t xml:space="preserve">Real-time analytics showing how content aligns with Osaka consumer values (e.g., "humor" and "directness" scores) using data from Dotonbori social media trends.</w:t>
      </w:r>
    </w:p>
    <w:p>
      <w:pPr>
        <w:pStyle w:val="FirstParagraph"/>
      </w:pPr>
      <w:r>
        <w:t xml:space="preserve">This</w:t>
      </w:r>
      <w:r>
        <w:t xml:space="preserve"> </w:t>
      </w:r>
      <w:r>
        <w:rPr>
          <w:iCs/>
          <w:i/>
        </w:rPr>
        <w:t xml:space="preserve">Editor</w:t>
      </w:r>
      <w:r>
        <w:t xml:space="preserve"> </w:t>
      </w:r>
      <w:r>
        <w:t xml:space="preserve">will be developed in Japan Osaka through collaboration with Kansai University’s Linguistics Department and the Osaka City Innovation Lab, ensuring academic rigor and local relevance. Unlike generic tools, OCAE embeds Osaka as the operating system—not a "locale."</w:t>
      </w:r>
    </w:p>
    <w:bookmarkEnd w:id="22"/>
    <w:bookmarkStart w:id="23" w:name="Xdf501dcdbd9f2c98a10b968c4dea9c941737ea7"/>
    <w:p>
      <w:pPr>
        <w:pStyle w:val="Heading2"/>
      </w:pPr>
      <w:r>
        <w:t xml:space="preserve">4. Methodology: Research-Driven Development in Japan Osaka</w:t>
      </w:r>
    </w:p>
    <w:p>
      <w:pPr>
        <w:pStyle w:val="FirstParagraph"/>
      </w:pPr>
      <w:r>
        <w:t xml:space="preserve">This project employs a 15-month mixed-methods approach centered in Japan Osaka:</w:t>
      </w:r>
    </w:p>
    <w:p>
      <w:pPr>
        <w:numPr>
          <w:ilvl w:val="0"/>
          <w:numId w:val="1002"/>
        </w:numPr>
        <w:pStyle w:val="Compact"/>
      </w:pPr>
      <w:r>
        <w:rPr>
          <w:bCs/>
          <w:b/>
        </w:rPr>
        <w:t xml:space="preserve">Phase 1 (Months 1-4): Ethnographic Fieldwork</w:t>
      </w:r>
      <w:r>
        <w:t xml:space="preserve"> </w:t>
      </w:r>
      <w:r>
        <w:t xml:space="preserve">– Researchers will conduct immersive observation at Kuromon Market, Dotombori nightlife zones, and local business hubs to document communication patterns. Partnering with Osaka Chamber of Commerce for access.</w:t>
      </w:r>
    </w:p>
    <w:p>
      <w:pPr>
        <w:numPr>
          <w:ilvl w:val="0"/>
          <w:numId w:val="1002"/>
        </w:numPr>
        <w:pStyle w:val="Compact"/>
      </w:pPr>
      <w:r>
        <w:rPr>
          <w:bCs/>
          <w:b/>
        </w:rPr>
        <w:t xml:space="preserve">Phase 2 (Months 5-8): AI Training &amp; Validation</w:t>
      </w:r>
      <w:r>
        <w:t xml:space="preserve"> </w:t>
      </w:r>
      <w:r>
        <w:t xml:space="preserve">– Collaborating with Osaka University’s NLP lab to build the linguistic engine using corpora from Osaka-based media (e.g., TV Asahi Kansai). Human "Osaka cultural validators" will rate AI output for authenticity.</w:t>
      </w:r>
    </w:p>
    <w:p>
      <w:pPr>
        <w:numPr>
          <w:ilvl w:val="0"/>
          <w:numId w:val="1002"/>
        </w:numPr>
        <w:pStyle w:val="Compact"/>
      </w:pPr>
      <w:r>
        <w:rPr>
          <w:bCs/>
          <w:b/>
        </w:rPr>
        <w:t xml:space="preserve">Phase 3 (Months 9-12): Industry Pilot Testing</w:t>
      </w:r>
      <w:r>
        <w:t xml:space="preserve"> </w:t>
      </w:r>
      <w:r>
        <w:t xml:space="preserve">– Co-developing OCAE with 10 Osaka SMEs (e.g., restaurant chains, tourism platforms) to test real-world impact on engagement metrics.</w:t>
      </w:r>
    </w:p>
    <w:p>
      <w:pPr>
        <w:numPr>
          <w:ilvl w:val="0"/>
          <w:numId w:val="1002"/>
        </w:numPr>
        <w:pStyle w:val="Compact"/>
      </w:pPr>
      <w:r>
        <w:rPr>
          <w:bCs/>
          <w:b/>
        </w:rPr>
        <w:t xml:space="preserve">Phase 4 (Months 13-15): Scalable Deployment</w:t>
      </w:r>
      <w:r>
        <w:t xml:space="preserve"> </w:t>
      </w:r>
      <w:r>
        <w:t xml:space="preserve">– Launching a cloud-based</w:t>
      </w:r>
      <w:r>
        <w:t xml:space="preserve"> </w:t>
      </w:r>
      <w:r>
        <w:rPr>
          <w:iCs/>
          <w:i/>
        </w:rPr>
        <w:t xml:space="preserve">Editor</w:t>
      </w:r>
      <w:r>
        <w:t xml:space="preserve"> </w:t>
      </w:r>
      <w:r>
        <w:t xml:space="preserve">with Japanese-language interface, supported by Osaka City’s tech incubator.</w:t>
      </w:r>
    </w:p>
    <w:bookmarkEnd w:id="23"/>
    <w:bookmarkStart w:id="24" w:name="X64c01953d72a855490792340173e2d41763ca4f"/>
    <w:p>
      <w:pPr>
        <w:pStyle w:val="Heading2"/>
      </w:pPr>
      <w:r>
        <w:t xml:space="preserve">5. Expected Outcomes and Impact for Japan Osaka</w:t>
      </w:r>
    </w:p>
    <w:p>
      <w:pPr>
        <w:pStyle w:val="FirstParagraph"/>
      </w:pPr>
      <w:r>
        <w:t xml:space="preserve">The OCAE will deliver transformative outcomes:</w:t>
      </w:r>
    </w:p>
    <w:p>
      <w:pPr>
        <w:numPr>
          <w:ilvl w:val="0"/>
          <w:numId w:val="1003"/>
        </w:numPr>
        <w:pStyle w:val="Compact"/>
      </w:pPr>
      <w:r>
        <w:rPr>
          <w:bCs/>
          <w:b/>
        </w:rPr>
        <w:t xml:space="preserve">Economic Impact:</w:t>
      </w:r>
      <w:r>
        <w:t xml:space="preserve"> </w:t>
      </w:r>
      <w:r>
        <w:t xml:space="preserve">Projected 35% increase in customer engagement for businesses using OCAE, directly boosting Osaka’s service sector (targeting ¥1.2 billion in annual value by Year 3).</w:t>
      </w:r>
    </w:p>
    <w:p>
      <w:pPr>
        <w:numPr>
          <w:ilvl w:val="0"/>
          <w:numId w:val="1003"/>
        </w:numPr>
        <w:pStyle w:val="Compact"/>
      </w:pPr>
      <w:r>
        <w:rPr>
          <w:bCs/>
          <w:b/>
        </w:rPr>
        <w:t xml:space="preserve">Cultural Preservation:</w:t>
      </w:r>
      <w:r>
        <w:t xml:space="preserve"> </w:t>
      </w:r>
      <w:r>
        <w:t xml:space="preserve">Systematic documentation of Osaka-ben vocabulary and humor patterns, preventing erosion of regional identity.</w:t>
      </w:r>
    </w:p>
    <w:p>
      <w:pPr>
        <w:numPr>
          <w:ilvl w:val="0"/>
          <w:numId w:val="1003"/>
        </w:numPr>
        <w:pStyle w:val="Compact"/>
      </w:pPr>
      <w:r>
        <w:rPr>
          <w:bCs/>
          <w:b/>
        </w:rPr>
        <w:t xml:space="preserve">Academic Contribution:</w:t>
      </w:r>
      <w:r>
        <w:t xml:space="preserve"> </w:t>
      </w:r>
      <w:r>
        <w:t xml:space="preserve">New frameworks for "regional localization" applicable to other global cities (e.g., Buenos Aires, Mumbai).</w:t>
      </w:r>
    </w:p>
    <w:p>
      <w:pPr>
        <w:numPr>
          <w:ilvl w:val="0"/>
          <w:numId w:val="1003"/>
        </w:numPr>
        <w:pStyle w:val="Compact"/>
      </w:pPr>
      <w:r>
        <w:rPr>
          <w:bCs/>
          <w:b/>
        </w:rPr>
        <w:t xml:space="preserve">Policy Relevance:</w:t>
      </w:r>
      <w:r>
        <w:t xml:space="preserve"> </w:t>
      </w:r>
      <w:r>
        <w:t xml:space="preserve">Supporting Osaka City’s "2025 Vision" to become Japan’s top destination for cultural tourism through authentic digital experiences.</w:t>
      </w:r>
    </w:p>
    <w:bookmarkEnd w:id="24"/>
    <w:bookmarkStart w:id="25" w:name="budget-and-resources"/>
    <w:p>
      <w:pPr>
        <w:pStyle w:val="Heading2"/>
      </w:pPr>
      <w:r>
        <w:t xml:space="preserve">6. Budget and Resources</w:t>
      </w:r>
    </w:p>
    <w:p>
      <w:pPr>
        <w:pStyle w:val="FirstParagraph"/>
      </w:pPr>
      <w:r>
        <w:t xml:space="preserve">The proposed budget of ¥48 million (≈$310,000) allocates funds to:</w:t>
      </w:r>
    </w:p>
    <w:p>
      <w:pPr>
        <w:numPr>
          <w:ilvl w:val="0"/>
          <w:numId w:val="1004"/>
        </w:numPr>
        <w:pStyle w:val="Compact"/>
      </w:pPr>
      <w:r>
        <w:t xml:space="preserve">¥25M for AI development via Osaka University partnerships</w:t>
      </w:r>
    </w:p>
    <w:p>
      <w:pPr>
        <w:numPr>
          <w:ilvl w:val="0"/>
          <w:numId w:val="1004"/>
        </w:numPr>
        <w:pStyle w:val="Compact"/>
      </w:pPr>
      <w:r>
        <w:t xml:space="preserve">¥12M for field research and cultural validation</w:t>
      </w:r>
    </w:p>
    <w:p>
      <w:pPr>
        <w:numPr>
          <w:ilvl w:val="0"/>
          <w:numId w:val="1004"/>
        </w:numPr>
        <w:pStyle w:val="Compact"/>
      </w:pPr>
      <w:r>
        <w:t xml:space="preserve">¥8M for pilot program with local businesses</w:t>
      </w:r>
    </w:p>
    <w:p>
      <w:pPr>
        <w:numPr>
          <w:ilvl w:val="0"/>
          <w:numId w:val="1004"/>
        </w:numPr>
        <w:pStyle w:val="Compact"/>
      </w:pPr>
      <w:r>
        <w:t xml:space="preserve">¥3M for infrastructure (cloud hosting, security)</w:t>
      </w:r>
    </w:p>
    <w:bookmarkEnd w:id="25"/>
    <w:bookmarkStart w:id="26" w:name="conclusion-why-osaka-is-the-catalyst"/>
    <w:p>
      <w:pPr>
        <w:pStyle w:val="Heading2"/>
      </w:pPr>
      <w:r>
        <w:t xml:space="preserve">7. Conclusion: Why Osaka is the Catalyst</w:t>
      </w:r>
    </w:p>
    <w:p>
      <w:pPr>
        <w:pStyle w:val="FirstParagraph"/>
      </w:pPr>
      <w:r>
        <w:t xml:space="preserve">This Research Proposal transcends typical localization studies by anchoring innovation in Japan Osaka’s unique cultural DNA. The OCAE isn’t just another</w:t>
      </w:r>
      <w:r>
        <w:t xml:space="preserve"> </w:t>
      </w:r>
      <w:r>
        <w:rPr>
          <w:iCs/>
          <w:i/>
        </w:rPr>
        <w:t xml:space="preserve">Editor</w:t>
      </w:r>
      <w:r>
        <w:t xml:space="preserve">; it is a catalyst for equitable business growth in a city where culture dictates commerce. As Osaka continues to attract global attention—from the G7 Summit 2023 to its role as host of the 2050 World Expo—this tool will empower businesses to engage authentically, not just linguistically. By embedding Japan Osaka at every layer of development, we ensure OCAE becomes indispensable for anyone seeking success in this vibrant city. This project sets a precedent: localization must evolve from translation to cultural co-creation—and Osaka is the perfect proving ground.</w:t>
      </w:r>
    </w:p>
    <w:p>
      <w:pPr>
        <w:pStyle w:val="BodyText"/>
      </w:pPr>
      <w:r>
        <w:rPr>
          <w:bCs/>
          <w:b/>
        </w:rPr>
        <w:t xml:space="preserve">Keywords:</w:t>
      </w:r>
      <w:r>
        <w:t xml:space="preserve"> </w:t>
      </w:r>
      <w:r>
        <w:t xml:space="preserve">Research Proposal, Editor,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Osaka-Centric Cultural Adaptation Editor for Japan</dc:title>
  <dc:creator/>
  <dc:language>en</dc:language>
  <cp:keywords/>
  <dcterms:created xsi:type="dcterms:W3CDTF">2026-07-15T03:44:24Z</dcterms:created>
  <dcterms:modified xsi:type="dcterms:W3CDTF">2026-07-15T03:44:24Z</dcterms:modified>
</cp:coreProperties>
</file>

<file path=docProps/custom.xml><?xml version="1.0" encoding="utf-8"?>
<Properties xmlns="http://schemas.openxmlformats.org/officeDocument/2006/custom-properties" xmlns:vt="http://schemas.openxmlformats.org/officeDocument/2006/docPropsVTypes"/>
</file>