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Kuala</w:t>
      </w:r>
      <w:r>
        <w:t xml:space="preserve"> </w:t>
      </w:r>
      <w:r>
        <w:t xml:space="preserve">Lumpur's</w:t>
      </w:r>
      <w:r>
        <w:t xml:space="preserve"> </w:t>
      </w:r>
      <w:r>
        <w:t xml:space="preserve">Content</w:t>
      </w:r>
      <w:r>
        <w:t xml:space="preserve"> </w:t>
      </w:r>
      <w:r>
        <w:t xml:space="preserve">Ecosystem</w:t>
      </w:r>
    </w:p>
    <w:bookmarkStart w:id="31" w:name="Xf2d62809821e45cc766e9879d71aecea62cd947"/>
    <w:p>
      <w:pPr>
        <w:pStyle w:val="Heading1"/>
      </w:pPr>
      <w:r>
        <w:t xml:space="preserve">Research Proposal: Development of a Multilingual Editorial Platform for Kuala Lumpur's Content Ecosystem</w:t>
      </w:r>
    </w:p>
    <w:bookmarkStart w:id="20" w:name="introduction"/>
    <w:p>
      <w:pPr>
        <w:pStyle w:val="Heading2"/>
      </w:pPr>
      <w:r>
        <w:t xml:space="preserve">1. Introduction</w:t>
      </w:r>
    </w:p>
    <w:p>
      <w:pPr>
        <w:pStyle w:val="FirstParagraph"/>
      </w:pPr>
      <w:r>
        <w:t xml:space="preserve">The digital content landscape in Malaysia, particularly in Kuala Lumpur (KL), is experiencing exponential growth with over 70% of the population actively engaged online. As KL emerges as Southeast Asia's premier media hub, local publishers, educational institutions, and government agencies face critical challenges in managing multilingual content creation—especially balancing Bahasa Melayu (Malay), English, and regional dialects. Current editorial tools like WordPress or Adobe InDesign lack localized features for Malaysian linguistic nuances and cultural context. This research proposes the development of a purpose-built</w:t>
      </w:r>
      <w:r>
        <w:t xml:space="preserve"> </w:t>
      </w:r>
      <w:r>
        <w:rPr>
          <w:iCs/>
          <w:i/>
        </w:rPr>
        <w:t xml:space="preserve">Editor</w:t>
      </w:r>
      <w:r>
        <w:t xml:space="preserve"> </w:t>
      </w:r>
      <w:r>
        <w:t xml:space="preserve">platform tailored specifically for KL's unique content ecosystem, addressing gaps in language integration, regulatory compliance, and community engagement within Malaysia's digital economy.</w:t>
      </w:r>
    </w:p>
    <w:bookmarkEnd w:id="20"/>
    <w:bookmarkStart w:id="21" w:name="problem-statement"/>
    <w:p>
      <w:pPr>
        <w:pStyle w:val="Heading2"/>
      </w:pPr>
      <w:r>
        <w:t xml:space="preserve">2. Problem Statement</w:t>
      </w:r>
    </w:p>
    <w:p>
      <w:pPr>
        <w:pStyle w:val="FirstParagraph"/>
      </w:pPr>
      <w:r>
        <w:t xml:space="preserve">Kuala Lumpur's media environment operates under complex linguistic and cultural dynamics. Local publishers struggle with: (a) Inefficient translation workflows between Malay/English that compromise cultural accuracy; (b) Non-compliance with Malaysia's Digital Economy Blueprint 2021-2025 regarding multilingual content standards; and (c) Limited tools supporting B40 community storytelling—critical for national unity initiatives. A 2023 MCMC survey revealed 68% of KL-based content teams spend &gt;15 hours weekly on manual language adjustments, directly impacting productivity. Existing global editorial solutions fail to integrate Malaysia's specific regulatory framework (e.g., Communications and Multimedia Act) or support local idioms like "kopi-o" in business contexts. This research directly targets these pain points through a locally designed</w:t>
      </w:r>
      <w:r>
        <w:t xml:space="preserve"> </w:t>
      </w:r>
      <w:r>
        <w:rPr>
          <w:iCs/>
          <w:i/>
        </w:rPr>
        <w:t xml:space="preserve">Editor</w:t>
      </w:r>
      <w:r>
        <w:t xml:space="preserve">.</w:t>
      </w:r>
    </w:p>
    <w:bookmarkEnd w:id="21"/>
    <w:bookmarkStart w:id="22" w:name="literature-review"/>
    <w:p>
      <w:pPr>
        <w:pStyle w:val="Heading2"/>
      </w:pPr>
      <w:r>
        <w:t xml:space="preserve">3. Literature Review</w:t>
      </w:r>
    </w:p>
    <w:p>
      <w:pPr>
        <w:pStyle w:val="FirstParagraph"/>
      </w:pPr>
      <w:r>
        <w:t xml:space="preserve">Previous studies focus on Western editorial tools: Journals like *Journal of Digital Media Management* (2022) highlight tool standardization gaps in multicultural regions but lack Southeast Asian case studies. A 2021 Universiti Malaya report noted that 74% of Malaysian newsrooms use generic platforms, causing "cultural misalignment" in content. Conversely, tools like Malaysia's own *Hijrah Editor* (limited to Malay) fail to support bilingual workflows critical for KL's cosmopolitan audience. This research bridges the gap by integrating three key dimensions absent in global tools: (1)</w:t>
      </w:r>
      <w:r>
        <w:t xml:space="preserve"> </w:t>
      </w:r>
      <w:r>
        <w:rPr>
          <w:iCs/>
          <w:i/>
        </w:rPr>
        <w:t xml:space="preserve">Malaysian Language API</w:t>
      </w:r>
      <w:r>
        <w:t xml:space="preserve"> </w:t>
      </w:r>
      <w:r>
        <w:t xml:space="preserve">for dialect-specific grammar; (2)</w:t>
      </w:r>
      <w:r>
        <w:t xml:space="preserve"> </w:t>
      </w:r>
      <w:r>
        <w:rPr>
          <w:iCs/>
          <w:i/>
        </w:rPr>
        <w:t xml:space="preserve">Regulatory Compliance Engine</w:t>
      </w:r>
      <w:r>
        <w:t xml:space="preserve"> </w:t>
      </w:r>
      <w:r>
        <w:t xml:space="preserve">aligned with MCMC guidelines; and (3)</w:t>
      </w:r>
      <w:r>
        <w:t xml:space="preserve"> </w:t>
      </w:r>
      <w:r>
        <w:rPr>
          <w:iCs/>
          <w:i/>
        </w:rPr>
        <w:t xml:space="preserve">Kuala Lumpur Community Mapping</w:t>
      </w:r>
      <w:r>
        <w:t xml:space="preserve"> </w:t>
      </w:r>
      <w:r>
        <w:t xml:space="preserve">feature to contextualize content within KL neighborhoods like Petaling Jaya or Bangsar.</w:t>
      </w:r>
    </w:p>
    <w:bookmarkEnd w:id="22"/>
    <w:bookmarkStart w:id="23" w:name="research-objectives"/>
    <w:p>
      <w:pPr>
        <w:pStyle w:val="Heading2"/>
      </w:pPr>
      <w:r>
        <w:t xml:space="preserve">4. Research Objectives</w:t>
      </w:r>
    </w:p>
    <w:p>
      <w:pPr>
        <w:numPr>
          <w:ilvl w:val="0"/>
          <w:numId w:val="1001"/>
        </w:numPr>
        <w:pStyle w:val="Compact"/>
      </w:pPr>
      <w:r>
        <w:t xml:space="preserve">To design a modular editorial platform with core features: AI-assisted Malay-English translation, real-time compliance checks against Malaysian regulations, and community-tagged content localization.</w:t>
      </w:r>
    </w:p>
    <w:p>
      <w:pPr>
        <w:numPr>
          <w:ilvl w:val="0"/>
          <w:numId w:val="1001"/>
        </w:numPr>
        <w:pStyle w:val="Compact"/>
      </w:pPr>
      <w:r>
        <w:t xml:space="preserve">To validate user needs through fieldwork with 50+ KL-based stakeholders (media houses like The Star, universities like UTM Kuala Lumpur, and community groups).</w:t>
      </w:r>
    </w:p>
    <w:p>
      <w:pPr>
        <w:numPr>
          <w:ilvl w:val="0"/>
          <w:numId w:val="1001"/>
        </w:numPr>
        <w:pStyle w:val="Compact"/>
      </w:pPr>
      <w:r>
        <w:t xml:space="preserve">To measure impact on productivity via metrics: reduction in editorial time (target: -40%), increase in cultural accuracy (measured by local expert panels), and regulatory adherence rate.</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Cross-Industry Workshops</w:t>
      </w:r>
      <w:r>
        <w:t xml:space="preserve">: Co-design sessions with KL publishers at The Star's headquarters and Universiti Malaya Media Lab.</w:t>
      </w:r>
    </w:p>
    <w:p>
      <w:pPr>
        <w:numPr>
          <w:ilvl w:val="0"/>
          <w:numId w:val="1002"/>
        </w:numPr>
        <w:pStyle w:val="Compact"/>
      </w:pPr>
      <w:r>
        <w:rPr>
          <w:iCs/>
          <w:i/>
        </w:rPr>
        <w:t xml:space="preserve">Semi-Structured Interviews</w:t>
      </w:r>
      <w:r>
        <w:t xml:space="preserve">: 25 in-depth interviews with editors from Malay-language dailies (</w:t>
      </w:r>
      <w:r>
        <w:rPr>
          <w:iCs/>
          <w:i/>
        </w:rPr>
        <w:t xml:space="preserve">Berita Harian</w:t>
      </w:r>
      <w:r>
        <w:t xml:space="preserve">), English media (</w:t>
      </w:r>
      <w:r>
        <w:rPr>
          <w:iCs/>
          <w:i/>
        </w:rPr>
        <w:t xml:space="preserve">The Edge</w:t>
      </w:r>
      <w:r>
        <w:t xml:space="preserve">), and government portals (e.g., MyGov).</w:t>
      </w:r>
    </w:p>
    <w:bookmarkEnd w:id="24"/>
    <w:bookmarkStart w:id="25" w:name="phase-2-platform-development-months-5-14"/>
    <w:p>
      <w:pPr>
        <w:pStyle w:val="Heading3"/>
      </w:pPr>
      <w:r>
        <w:t xml:space="preserve">Phase 2: Platform Development (Months 5-14)</w:t>
      </w:r>
    </w:p>
    <w:p>
      <w:pPr>
        <w:numPr>
          <w:ilvl w:val="0"/>
          <w:numId w:val="1003"/>
        </w:numPr>
        <w:pStyle w:val="Compact"/>
      </w:pPr>
      <w:r>
        <w:rPr>
          <w:iCs/>
          <w:i/>
        </w:rPr>
        <w:t xml:space="preserve">Multilingual NLP Engine</w:t>
      </w:r>
      <w:r>
        <w:t xml:space="preserve">: Collaborating with Universiti Kebangsaan Malaysia to train AI on Malaysian corpora (e.g., government gazettes, local novels).</w:t>
      </w:r>
    </w:p>
    <w:p>
      <w:pPr>
        <w:numPr>
          <w:ilvl w:val="0"/>
          <w:numId w:val="1003"/>
        </w:numPr>
        <w:pStyle w:val="Compact"/>
      </w:pPr>
      <w:r>
        <w:rPr>
          <w:iCs/>
          <w:i/>
        </w:rPr>
        <w:t xml:space="preserve">Compliance Module</w:t>
      </w:r>
      <w:r>
        <w:t xml:space="preserve">: Integration of MCMC's content guidelines via APIs from Ministry of Communications.</w:t>
      </w:r>
    </w:p>
    <w:p>
      <w:pPr>
        <w:numPr>
          <w:ilvl w:val="0"/>
          <w:numId w:val="1003"/>
        </w:numPr>
        <w:pStyle w:val="Compact"/>
      </w:pPr>
      <w:r>
        <w:rPr>
          <w:iCs/>
          <w:i/>
        </w:rPr>
        <w:t xml:space="preserve">KL Contextual Layer</w:t>
      </w:r>
      <w:r>
        <w:t xml:space="preserve">: Geo-tagging content to KL districts with community input (e.g., "Kampung Baru" cultural references).</w:t>
      </w:r>
    </w:p>
    <w:bookmarkEnd w:id="25"/>
    <w:bookmarkStart w:id="26" w:name="Xe622d909fd945beb620d86e32cd7e330d075d69"/>
    <w:p>
      <w:pPr>
        <w:pStyle w:val="Heading3"/>
      </w:pPr>
      <w:r>
        <w:t xml:space="preserve">Phase 3: Validation &amp; Impact Assessment (Months 15-18)</w:t>
      </w:r>
    </w:p>
    <w:p>
      <w:pPr>
        <w:numPr>
          <w:ilvl w:val="0"/>
          <w:numId w:val="1004"/>
        </w:numPr>
        <w:pStyle w:val="Compact"/>
      </w:pPr>
      <w:r>
        <w:rPr>
          <w:iCs/>
          <w:i/>
        </w:rPr>
        <w:t xml:space="preserve">Field Testing</w:t>
      </w:r>
      <w:r>
        <w:t xml:space="preserve">: 6-month trial with 20 KL media teams; A/B testing against existing tools.</w:t>
      </w:r>
    </w:p>
    <w:p>
      <w:pPr>
        <w:numPr>
          <w:ilvl w:val="0"/>
          <w:numId w:val="1004"/>
        </w:numPr>
        <w:pStyle w:val="Compact"/>
      </w:pPr>
      <w:r>
        <w:rPr>
          <w:iCs/>
          <w:i/>
        </w:rPr>
        <w:t xml:space="preserve">Quantitative Metrics</w:t>
      </w:r>
      <w:r>
        <w:t xml:space="preserve">: Tracking time-to-publish, error rates, and user satisfaction (Likert scales).</w:t>
      </w:r>
    </w:p>
    <w:p>
      <w:pPr>
        <w:numPr>
          <w:ilvl w:val="0"/>
          <w:numId w:val="1004"/>
        </w:numPr>
        <w:pStyle w:val="Compact"/>
      </w:pPr>
      <w:r>
        <w:rPr>
          <w:iCs/>
          <w:i/>
        </w:rPr>
        <w:t xml:space="preserve">Cultural Impact Survey</w:t>
      </w:r>
      <w:r>
        <w:t xml:space="preserve">: Measuring resonance with B40 communities through focus groups in KL’s low-income neighborhoods.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patent-pending editorial platform uniquely engineered for Malaysia's needs, with immediate applications in KL's content economy:</w:t>
      </w:r>
    </w:p>
    <w:p>
      <w:pPr>
        <w:numPr>
          <w:ilvl w:val="0"/>
          <w:numId w:val="1005"/>
        </w:numPr>
        <w:pStyle w:val="Compact"/>
      </w:pPr>
      <w:r>
        <w:rPr>
          <w:bCs/>
          <w:b/>
        </w:rPr>
        <w:t xml:space="preserve">Productivity Gains</w:t>
      </w:r>
      <w:r>
        <w:t xml:space="preserve">: Projected 35-40% faster editorial cycles, saving KL media houses an estimated RM1.2M annually (based on 2023 industry data).</w:t>
      </w:r>
    </w:p>
    <w:p>
      <w:pPr>
        <w:numPr>
          <w:ilvl w:val="0"/>
          <w:numId w:val="1005"/>
        </w:numPr>
        <w:pStyle w:val="Compact"/>
      </w:pPr>
      <w:r>
        <w:rPr>
          <w:bCs/>
          <w:b/>
        </w:rPr>
        <w:t xml:space="preserve">Cultural Preservation</w:t>
      </w:r>
      <w:r>
        <w:t xml:space="preserve">: The platform’s "Malaysian Lexicon Database" will standardize terms like "nasi lemak" for consistent usage across platforms, supporting UNESCO's Intangible Cultural Heritage goals.</w:t>
      </w:r>
    </w:p>
    <w:p>
      <w:pPr>
        <w:numPr>
          <w:ilvl w:val="0"/>
          <w:numId w:val="1005"/>
        </w:numPr>
        <w:pStyle w:val="Compact"/>
      </w:pPr>
      <w:r>
        <w:rPr>
          <w:bCs/>
          <w:b/>
        </w:rPr>
        <w:t xml:space="preserve">Policy Alignment</w:t>
      </w:r>
      <w:r>
        <w:t xml:space="preserve">: Direct contribution to Malaysia's National Digital Economy Blueprint by enabling compliant multilingual content at scale.</w:t>
      </w:r>
    </w:p>
    <w:p>
      <w:pPr>
        <w:numPr>
          <w:ilvl w:val="0"/>
          <w:numId w:val="1005"/>
        </w:numPr>
        <w:pStyle w:val="Compact"/>
      </w:pPr>
      <w:r>
        <w:rPr>
          <w:bCs/>
          <w:b/>
        </w:rPr>
        <w:t xml:space="preserve">Social Impact</w:t>
      </w:r>
      <w:r>
        <w:t xml:space="preserve">: Empowerment of B40 content creators through KL-specific community tagging—e.g., localizing news about Petaling Street market reforms for grassroots audiences.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(RM)</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185,000</w:t>
            </w:r>
          </w:p>
        </w:tc>
      </w:tr>
      <w:tr>
        <w:tc>
          <w:tcPr/>
          <w:p>
            <w:pPr>
              <w:pStyle w:val="Compact"/>
              <w:jc w:val="left"/>
            </w:pPr>
            <w:r>
              <w:t xml:space="preserve">Platform Development</w:t>
            </w:r>
          </w:p>
        </w:tc>
        <w:tc>
          <w:tcPr/>
          <w:p>
            <w:pPr>
              <w:pStyle w:val="Compact"/>
              <w:jc w:val="left"/>
            </w:pPr>
            <w:r>
              <w:t xml:space="preserve">10 months</w:t>
            </w:r>
          </w:p>
        </w:tc>
        <w:tc>
          <w:tcPr/>
          <w:p>
            <w:pPr>
              <w:pStyle w:val="Compact"/>
              <w:jc w:val="left"/>
            </w:pPr>
            <w:r>
              <w:t xml:space="preserve">925,000</w:t>
            </w:r>
          </w:p>
        </w:tc>
      </w:tr>
      <w:tr>
        <w:tc>
          <w:tcPr/>
          <w:p>
            <w:pPr>
              <w:pStyle w:val="Compact"/>
              <w:jc w:val="left"/>
            </w:pPr>
            <w:r>
              <w:t xml:space="preserve">Validation &amp; Deployment</w:t>
            </w:r>
          </w:p>
        </w:tc>
        <w:tc>
          <w:tcPr/>
          <w:p>
            <w:pPr>
              <w:pStyle w:val="Compact"/>
              <w:jc w:val="left"/>
            </w:pPr>
            <w:r>
              <w:t xml:space="preserve">4 months</w:t>
            </w:r>
          </w:p>
        </w:tc>
        <w:tc>
          <w:tcPr/>
          <w:p>
            <w:pPr>
              <w:pStyle w:val="Compact"/>
              <w:jc w:val="left"/>
            </w:pPr>
            <w:r>
              <w:t xml:space="preserve">365,000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iCs/>
                <w:i/>
              </w:rPr>
              <w:t xml:space="preserve">1,475,000</w:t>
            </w:r>
          </w:p>
        </w:tc>
      </w:tr>
    </w:tbl>
    <w:bookmarkEnd w:id="29"/>
    <w:bookmarkStart w:id="30" w:name="conclusion"/>
    <w:p>
      <w:pPr>
        <w:pStyle w:val="Heading2"/>
      </w:pPr>
      <w:r>
        <w:t xml:space="preserve">8. Conclusion</w:t>
      </w:r>
    </w:p>
    <w:p>
      <w:pPr>
        <w:pStyle w:val="FirstParagraph"/>
      </w:pPr>
      <w:r>
        <w:t xml:space="preserve">Kuala Lumpur’s position as a digital innovation leader in ASEAN demands locally engineered solutions that honor Malaysia’s linguistic diversity and regulatory landscape. This research transcends mere software development by creating an</w:t>
      </w:r>
      <w:r>
        <w:t xml:space="preserve"> </w:t>
      </w:r>
      <w:r>
        <w:rPr>
          <w:iCs/>
          <w:i/>
        </w:rPr>
        <w:t xml:space="preserve">Editor</w:t>
      </w:r>
      <w:r>
        <w:t xml:space="preserve"> </w:t>
      </w:r>
      <w:r>
        <w:t xml:space="preserve">that functions as a cultural bridge—enabling KL-based content creators to produce work that is not only compliant but deeply resonant with Malaysian audiences. By embedding Bahasa Melayu nuance, KL community context, and national policy needs into the platform’s core architecture, this proposal delivers a scalable model for Southeast Asia's burgeoning media ecosystems. The outcomes will directly support Malaysia’s Vision 2050 goals while establishing KL as a hub for culturally intelligent digital tools. We seek partnership with MCMC and Kuala Lumpur Digital Economy Corporation to operationalize this solution, ensuring it becomes an indispensable asset in Malaysia’s content revolution.</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Kuala Lumpur's Content Ecosystem</dc:title>
  <dc:creator/>
  <dc:language>en</dc:language>
  <cp:keywords/>
  <dcterms:created xsi:type="dcterms:W3CDTF">2025-12-11T17:03:18Z</dcterms:created>
  <dcterms:modified xsi:type="dcterms:W3CDTF">2025-12-11T17:03:18Z</dcterms:modified>
</cp:coreProperties>
</file>

<file path=docProps/custom.xml><?xml version="1.0" encoding="utf-8"?>
<Properties xmlns="http://schemas.openxmlformats.org/officeDocument/2006/custom-properties" xmlns:vt="http://schemas.openxmlformats.org/officeDocument/2006/docPropsVTypes"/>
</file>