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an</w:t>
      </w:r>
      <w:r>
        <w:t xml:space="preserve"> </w:t>
      </w:r>
      <w:r>
        <w:t xml:space="preserve">Advanced</w:t>
      </w:r>
      <w:r>
        <w:t xml:space="preserve"> </w:t>
      </w:r>
      <w:r>
        <w:t xml:space="preserve">Content</w:t>
      </w:r>
      <w:r>
        <w:t xml:space="preserve"> </w:t>
      </w:r>
      <w:r>
        <w:t xml:space="preserve">Editor</w:t>
      </w:r>
      <w:r>
        <w:t xml:space="preserve"> </w:t>
      </w:r>
      <w:r>
        <w:t xml:space="preserve">for</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30b466993c1cab366c7621a25ad65b7cb7fad51"/>
    <w:p>
      <w:pPr>
        <w:pStyle w:val="Heading1"/>
      </w:pPr>
      <w:r>
        <w:t xml:space="preserve">Research Proposal: Development and Implementation of a Multilingual, AI-Powered Content Editor for Digital Ecosystems in the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Dubai, stands at the forefront of global digital transformation initiatives under its visionary leadership. As a magnet for international businesses, diverse cultural communities, and innovative tech startups, Dubai's digital landscape demands sophisticated content management solutions that transcend linguistic and regulatory boundaries. Current content editor tools deployed across government portals (e.g., Smart Dubai initiatives), corporate platforms (e.g., DIFC entities), and media outlets often struggle with the unique complexities of operating in a multilingual environment where Arabic, English, and South Asian languages coexist seamlessly. This research proposal outlines a comprehensive study to design, develop, and validate an advanced</w:t>
      </w:r>
      <w:r>
        <w:t xml:space="preserve"> </w:t>
      </w:r>
      <w:r>
        <w:rPr>
          <w:iCs/>
          <w:i/>
        </w:rPr>
        <w:t xml:space="preserve">Editor</w:t>
      </w:r>
      <w:r>
        <w:t xml:space="preserve"> </w:t>
      </w:r>
      <w:r>
        <w:t xml:space="preserve">specifically tailored for the United Arab Emirates Dubai context. This</w:t>
      </w:r>
      <w:r>
        <w:t xml:space="preserve"> </w:t>
      </w:r>
      <w:r>
        <w:rPr>
          <w:iCs/>
          <w:i/>
        </w:rPr>
        <w:t xml:space="preserve">Editor</w:t>
      </w:r>
      <w:r>
        <w:t xml:space="preserve"> </w:t>
      </w:r>
      <w:r>
        <w:t xml:space="preserve">will not merely function as a text processor but will integrate UAE-specific compliance frameworks, cultural nuances, and multilingual AI capabilities essential for Dubai's digital future.</w:t>
      </w:r>
    </w:p>
    <w:bookmarkEnd w:id="20"/>
    <w:bookmarkStart w:id="21" w:name="problem-statement"/>
    <w:p>
      <w:pPr>
        <w:pStyle w:val="Heading2"/>
      </w:pPr>
      <w:r>
        <w:t xml:space="preserve">2. Problem Statement</w:t>
      </w:r>
    </w:p>
    <w:p>
      <w:pPr>
        <w:pStyle w:val="FirstParagraph"/>
      </w:pPr>
      <w:r>
        <w:t xml:space="preserve">Present content management systems (CMS) in Dubai frequently fail to address critical local requirements:</w:t>
      </w:r>
    </w:p>
    <w:p>
      <w:pPr>
        <w:numPr>
          <w:ilvl w:val="0"/>
          <w:numId w:val="1001"/>
        </w:numPr>
        <w:pStyle w:val="Compact"/>
      </w:pPr>
      <w:r>
        <w:rPr>
          <w:bCs/>
          <w:b/>
        </w:rPr>
        <w:t xml:space="preserve">Linguistic Fragmentation:</w:t>
      </w:r>
      <w:r>
        <w:t xml:space="preserve"> </w:t>
      </w:r>
      <w:r>
        <w:t xml:space="preserve">Many tools lack robust support for Arabic script rendering, right-to-left formatting, and the integration of UAE-specific Arabic dialects alongside Modern Standard Arabic (MSA), causing errors in official communications.</w:t>
      </w:r>
    </w:p>
    <w:p>
      <w:pPr>
        <w:numPr>
          <w:ilvl w:val="0"/>
          <w:numId w:val="1001"/>
        </w:numPr>
        <w:pStyle w:val="Compact"/>
      </w:pPr>
      <w:r>
        <w:rPr>
          <w:bCs/>
          <w:b/>
        </w:rPr>
        <w:t xml:space="preserve">Regulatory Compliance Gap:</w:t>
      </w:r>
      <w:r>
        <w:t xml:space="preserve"> </w:t>
      </w:r>
      <w:r>
        <w:t xml:space="preserve">Existing editors do not natively incorporate UAE federal laws (e.g., Data Protection Law No. 45 of 2021), Dubai Internet City regulations, or sector-specific rules (like DIFC financial content guidelines), risking non-compliance during content creation.</w:t>
      </w:r>
    </w:p>
    <w:p>
      <w:pPr>
        <w:numPr>
          <w:ilvl w:val="0"/>
          <w:numId w:val="1001"/>
        </w:numPr>
        <w:pStyle w:val="Compact"/>
      </w:pPr>
      <w:r>
        <w:rPr>
          <w:bCs/>
          <w:b/>
        </w:rPr>
        <w:t xml:space="preserve">Cultural Contextualization:</w:t>
      </w:r>
      <w:r>
        <w:t xml:space="preserve"> </w:t>
      </w:r>
      <w:r>
        <w:t xml:space="preserve">Generic editors cannot adapt content for UAE cultural norms (e.g., Ramadan marketing sensitivity, Emirati values in public messaging), leading to ineffective or offensive communication.</w:t>
      </w:r>
    </w:p>
    <w:p>
      <w:pPr>
        <w:numPr>
          <w:ilvl w:val="0"/>
          <w:numId w:val="1001"/>
        </w:numPr>
        <w:pStyle w:val="Compact"/>
      </w:pPr>
      <w:r>
        <w:rPr>
          <w:bCs/>
          <w:b/>
        </w:rPr>
        <w:t xml:space="preserve">Operational Inefficiency:</w:t>
      </w:r>
      <w:r>
        <w:t xml:space="preserve"> </w:t>
      </w:r>
      <w:r>
        <w:t xml:space="preserve">Government entities like Dubai Municipality and private enterprises waste significant time manually adapting global tools, hindering rapid deployment of multilingual campaigns across the United Arab Emirates Dubai ecosystem.</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aims to develop a UAE-centric digital content editor through four interconnected objectives:</w:t>
      </w:r>
    </w:p>
    <w:p>
      <w:pPr>
        <w:numPr>
          <w:ilvl w:val="0"/>
          <w:numId w:val="1002"/>
        </w:numPr>
        <w:pStyle w:val="Compact"/>
      </w:pPr>
      <w:r>
        <w:t xml:space="preserve">To conduct an exhaustive audit of current editorial tools used across 15+ key Dubai entities (including Dubai Government Services, major banks, and media houses) to identify specific functional gaps.</w:t>
      </w:r>
    </w:p>
    <w:p>
      <w:pPr>
        <w:numPr>
          <w:ilvl w:val="0"/>
          <w:numId w:val="1002"/>
        </w:numPr>
        <w:pStyle w:val="Compact"/>
      </w:pPr>
      <w:r>
        <w:t xml:space="preserve">To co-design a prototype Editor with embedded UAE regulatory frameworks and multilingual AI support (Arabic/English/Farsi/Hindi), validated by the UAE Ministry of Foreign Affairs and local cultural advisors.</w:t>
      </w:r>
    </w:p>
    <w:p>
      <w:pPr>
        <w:numPr>
          <w:ilvl w:val="0"/>
          <w:numId w:val="1002"/>
        </w:numPr>
        <w:pStyle w:val="Compact"/>
      </w:pPr>
      <w:r>
        <w:t xml:space="preserve">To implement pilot testing within two major Dubai government entities (e.g., Smart Dubai Office, Dubai Tourism) to measure efficiency gains in content creation speed, compliance accuracy, and user satisfaction.</w:t>
      </w:r>
    </w:p>
    <w:p>
      <w:pPr>
        <w:numPr>
          <w:ilvl w:val="0"/>
          <w:numId w:val="1002"/>
        </w:numPr>
        <w:pStyle w:val="Compact"/>
      </w:pPr>
      <w:r>
        <w:t xml:space="preserve">To establish a scalable framework for continuous adaptation of the Editor to evolving UAE policies and emerging digital trends (e.g., AI ethics guidelines under the UAE AI Strategy 2031).</w:t>
      </w:r>
    </w:p>
    <w:bookmarkEnd w:id="22"/>
    <w:bookmarkStart w:id="23" w:name="methodology"/>
    <w:p>
      <w:pPr>
        <w:pStyle w:val="Heading2"/>
      </w:pPr>
      <w:r>
        <w:t xml:space="preserve">4. Methodology</w:t>
      </w:r>
    </w:p>
    <w:p>
      <w:pPr>
        <w:pStyle w:val="FirstParagraph"/>
      </w:pPr>
      <w:r>
        <w:t xml:space="preserve">This mixed-methods research employs a three-phase approach:</w:t>
      </w:r>
    </w:p>
    <w:p>
      <w:pPr>
        <w:numPr>
          <w:ilvl w:val="0"/>
          <w:numId w:val="1003"/>
        </w:numPr>
        <w:pStyle w:val="Compact"/>
      </w:pPr>
      <w:r>
        <w:rPr>
          <w:bCs/>
          <w:b/>
        </w:rPr>
        <w:t xml:space="preserve">Phase 1: Contextual Analysis (Months 1-3)</w:t>
      </w:r>
      <w:r>
        <w:t xml:space="preserve">: Stakeholder interviews with UAE entities (Dubai Media City, Etisalat, Dubai Police Communications), policy document review of UAE Federal Law and Dubai Executive Council resolutions, and user workflow mapping.</w:t>
      </w:r>
    </w:p>
    <w:p>
      <w:pPr>
        <w:numPr>
          <w:ilvl w:val="0"/>
          <w:numId w:val="1003"/>
        </w:numPr>
        <w:pStyle w:val="Compact"/>
      </w:pPr>
      <w:r>
        <w:rPr>
          <w:bCs/>
          <w:b/>
        </w:rPr>
        <w:t xml:space="preserve">Phase 2: Co-Creation &amp; Development (Months 4-9)</w:t>
      </w:r>
      <w:r>
        <w:t xml:space="preserve">: Collaborative workshops with UAE content teams to define editorial rules (e.g., "No references to alcohol during Ramadan"), followed by agile development of the Editor prototype featuring:</w:t>
      </w:r>
    </w:p>
    <w:p>
      <w:pPr>
        <w:numPr>
          <w:ilvl w:val="1"/>
          <w:numId w:val="1004"/>
        </w:numPr>
        <w:pStyle w:val="Compact"/>
      </w:pPr>
      <w:r>
        <w:t xml:space="preserve">Arabic script engine compliant with UAE's National Language Strategy 2030.</w:t>
      </w:r>
    </w:p>
    <w:p>
      <w:pPr>
        <w:numPr>
          <w:ilvl w:val="1"/>
          <w:numId w:val="1004"/>
        </w:numPr>
        <w:pStyle w:val="Compact"/>
      </w:pPr>
      <w:r>
        <w:t xml:space="preserve">Real-time compliance checker against UAE legal databases.</w:t>
      </w:r>
    </w:p>
    <w:p>
      <w:pPr>
        <w:numPr>
          <w:ilvl w:val="1"/>
          <w:numId w:val="1004"/>
        </w:numPr>
        <w:pStyle w:val="Compact"/>
      </w:pPr>
      <w:r>
        <w:t xml:space="preserve">Cultural sensitivity AI module trained on Dubai-specific public campaigns.</w:t>
      </w:r>
    </w:p>
    <w:p>
      <w:pPr>
        <w:numPr>
          <w:ilvl w:val="0"/>
          <w:numId w:val="1003"/>
        </w:numPr>
        <w:pStyle w:val="Compact"/>
      </w:pPr>
      <w:r>
        <w:rPr>
          <w:bCs/>
          <w:b/>
        </w:rPr>
        <w:t xml:space="preserve">Phase 3: Validation &amp; Scaling (Months 10-15)</w:t>
      </w:r>
      <w:r>
        <w:t xml:space="preserve">: Quantitative metrics (time saved per content item, compliance error rates) and qualitative feedback from Dubai pilot users. Final framework documentation for UAE-wide adoption.</w:t>
      </w:r>
    </w:p>
    <w:bookmarkEnd w:id="23"/>
    <w:bookmarkStart w:id="24" w:name="Xfdaa3d6e37f17c6b89fec91c3596176df66b1fa"/>
    <w:p>
      <w:pPr>
        <w:pStyle w:val="Heading2"/>
      </w:pPr>
      <w:r>
        <w:t xml:space="preserve">5. Significance to United Arab Emirates Dubai</w:t>
      </w:r>
    </w:p>
    <w:p>
      <w:pPr>
        <w:pStyle w:val="FirstParagraph"/>
      </w:pPr>
      <w:r>
        <w:t xml:space="preserve">This research directly addresses strategic priorities outlined in the UAE Vision 2030 and Smart Dubai 2031 roadmap. By delivering a purpose-built Editor, it will:</w:t>
      </w:r>
    </w:p>
    <w:p>
      <w:pPr>
        <w:numPr>
          <w:ilvl w:val="0"/>
          <w:numId w:val="1005"/>
        </w:numPr>
        <w:pStyle w:val="Compact"/>
      </w:pPr>
      <w:r>
        <w:rPr>
          <w:bCs/>
          <w:b/>
        </w:rPr>
        <w:t xml:space="preserve">Elevate Digital Governance:</w:t>
      </w:r>
      <w:r>
        <w:t xml:space="preserve"> </w:t>
      </w:r>
      <w:r>
        <w:t xml:space="preserve">Enable seamless creation of compliant, culturally resonant content for Dubai's "Digital Government" initiatives, enhancing public trust in e-services.</w:t>
      </w:r>
    </w:p>
    <w:p>
      <w:pPr>
        <w:numPr>
          <w:ilvl w:val="0"/>
          <w:numId w:val="1005"/>
        </w:numPr>
        <w:pStyle w:val="Compact"/>
      </w:pPr>
      <w:r>
        <w:rPr>
          <w:bCs/>
          <w:b/>
        </w:rPr>
        <w:t xml:space="preserve">Boost Economic Competitiveness:</w:t>
      </w:r>
      <w:r>
        <w:t xml:space="preserve"> </w:t>
      </w:r>
      <w:r>
        <w:t xml:space="preserve">Reduce operational costs for businesses operating within Dubai Free Zones by eliminating manual translation/compliance checks. A single Editor could save entities $250K annually in content management.</w:t>
      </w:r>
    </w:p>
    <w:p>
      <w:pPr>
        <w:numPr>
          <w:ilvl w:val="0"/>
          <w:numId w:val="1005"/>
        </w:numPr>
        <w:pStyle w:val="Compact"/>
      </w:pPr>
      <w:r>
        <w:rPr>
          <w:bCs/>
          <w:b/>
        </w:rPr>
        <w:t xml:space="preserve">Promote Cultural Identity:</w:t>
      </w:r>
      <w:r>
        <w:t xml:space="preserve"> </w:t>
      </w:r>
      <w:r>
        <w:t xml:space="preserve">Ensure digital platforms authentically represent Emirati heritage and values, moving beyond superficial bilingualism to true contextual understanding—a key differentiator for Dubai's global brand.</w:t>
      </w:r>
    </w:p>
    <w:p>
      <w:pPr>
        <w:numPr>
          <w:ilvl w:val="0"/>
          <w:numId w:val="1005"/>
        </w:numPr>
        <w:pStyle w:val="Compact"/>
      </w:pPr>
      <w:r>
        <w:rPr>
          <w:bCs/>
          <w:b/>
        </w:rPr>
        <w:t xml:space="preserve">Strengthen Regulatory Adherence:</w:t>
      </w:r>
      <w:r>
        <w:t xml:space="preserve"> </w:t>
      </w:r>
      <w:r>
        <w:t xml:space="preserve">Prevent costly legal penalties by embedding UAE law into the content creation workflow itself, not as an afterthought.</w:t>
      </w:r>
    </w:p>
    <w:bookmarkEnd w:id="24"/>
    <w:bookmarkStart w:id="25" w:name="expected-outcomes-and-deliverables"/>
    <w:p>
      <w:pPr>
        <w:pStyle w:val="Heading2"/>
      </w:pPr>
      <w:r>
        <w:t xml:space="preserve">6. Expected Outcomes and Deliverables</w:t>
      </w:r>
    </w:p>
    <w:p>
      <w:pPr>
        <w:pStyle w:val="FirstParagraph"/>
      </w:pPr>
      <w:r>
        <w:t xml:space="preserve">The successful completion of this Research Proposal will yield:</w:t>
      </w:r>
    </w:p>
    <w:p>
      <w:pPr>
        <w:numPr>
          <w:ilvl w:val="0"/>
          <w:numId w:val="1006"/>
        </w:numPr>
        <w:pStyle w:val="Compact"/>
      </w:pPr>
      <w:r>
        <w:t xml:space="preserve">A fully functional, open-architecture Editor platform (web-based, cloud-hosted in Dubai Data Center) ready for enterprise deployment.</w:t>
      </w:r>
    </w:p>
    <w:p>
      <w:pPr>
        <w:numPr>
          <w:ilvl w:val="0"/>
          <w:numId w:val="1006"/>
        </w:numPr>
        <w:pStyle w:val="Compact"/>
      </w:pPr>
      <w:r>
        <w:t xml:space="preserve">A comprehensive UAE Content Compliance Handbook detailing editorial rules specific to federal and Dubai-local regulations.</w:t>
      </w:r>
    </w:p>
    <w:p>
      <w:pPr>
        <w:numPr>
          <w:ilvl w:val="0"/>
          <w:numId w:val="1006"/>
        </w:numPr>
        <w:pStyle w:val="Compact"/>
      </w:pPr>
      <w:r>
        <w:t xml:space="preserve">Validation data proving a minimum 40% reduction in content publishing time and a 95% compliance accuracy rate in pilot testing (vs. current industry average of 65%).</w:t>
      </w:r>
    </w:p>
    <w:p>
      <w:pPr>
        <w:numPr>
          <w:ilvl w:val="0"/>
          <w:numId w:val="1006"/>
        </w:numPr>
        <w:pStyle w:val="Compact"/>
      </w:pPr>
      <w:r>
        <w:t xml:space="preserve">A scalable model for future integration of emerging technologies (e.g., metaverse content creation tools) within the UAE Dubai digital ecosystem.</w:t>
      </w:r>
    </w:p>
    <w:bookmarkEnd w:id="25"/>
    <w:bookmarkStart w:id="26" w:name="ethical-considerations-and-uae-alignment"/>
    <w:p>
      <w:pPr>
        <w:pStyle w:val="Heading2"/>
      </w:pPr>
      <w:r>
        <w:t xml:space="preserve">7. Ethical Considerations and UAE Alignment</w:t>
      </w:r>
    </w:p>
    <w:p>
      <w:pPr>
        <w:pStyle w:val="FirstParagraph"/>
      </w:pPr>
      <w:r>
        <w:t xml:space="preserve">All research activities strictly adhere to the UAE's ethical guidelines for AI development and data usage. Collaboration with entities like the Dubai Future Foundation ensures alignment with national values. The Editor’s AI will prioritize transparency—users will always see why content was flagged (e.g., "Suggested change: 'Happy Eid' → 'Eid Mubarak' per Dubai Tourism Guidelines"). Data privacy is embedded via compliance with UAE data sovereignty laws, with all user content processed exclusively within Dubai’s secure infrastructure.</w:t>
      </w:r>
    </w:p>
    <w:bookmarkEnd w:id="26"/>
    <w:bookmarkStart w:id="27" w:name="conclusion"/>
    <w:p>
      <w:pPr>
        <w:pStyle w:val="Heading2"/>
      </w:pPr>
      <w:r>
        <w:t xml:space="preserve">8. Conclusion</w:t>
      </w:r>
    </w:p>
    <w:p>
      <w:pPr>
        <w:pStyle w:val="FirstParagraph"/>
      </w:pPr>
      <w:r>
        <w:t xml:space="preserve">The United Arab Emirates Dubai is not merely a location for this research—it is the essential proving ground. Developing a specialized Editor for Dubai's unique digital environment represents a strategic investment in operational excellence, cultural authenticity, and regulatory foresight. This Research Proposal bridges critical gaps between global software capabilities and UAE-specific demands. By prioritizing local context over generic solutions, it promises to deliver not just an editor, but an indispensable tool that embodies the spirit of innovation driving Dubai’s digital renaissance. The resulting platform will set a benchmark for smart city content management worldwide, firmly establishing Dubai as the pioneer in purpose-built digital infrastructure within the United Arab Emirates.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an Advanced Content Editor for the United Arab Emirates Dubai Context</dc:title>
  <dc:creator/>
  <dc:language>en</dc:language>
  <cp:keywords/>
  <dcterms:created xsi:type="dcterms:W3CDTF">2026-07-21T02:16:07Z</dcterms:created>
  <dcterms:modified xsi:type="dcterms:W3CDTF">2026-07-21T02:16:07Z</dcterms:modified>
</cp:coreProperties>
</file>

<file path=docProps/custom.xml><?xml version="1.0" encoding="utf-8"?>
<Properties xmlns="http://schemas.openxmlformats.org/officeDocument/2006/custom-properties" xmlns:vt="http://schemas.openxmlformats.org/officeDocument/2006/docPropsVTypes"/>
</file>