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Jakarta's</w:t>
      </w:r>
      <w:r>
        <w:t xml:space="preserve"> </w:t>
      </w:r>
      <w:r>
        <w:t xml:space="preserve">Urban</w:t>
      </w:r>
      <w:r>
        <w:t xml:space="preserve"> </w:t>
      </w:r>
      <w:r>
        <w:t xml:space="preserve">School</w:t>
      </w:r>
      <w:r>
        <w:t xml:space="preserve"> </w:t>
      </w:r>
      <w:r>
        <w:t xml:space="preserve">System</w:t>
      </w:r>
    </w:p>
    <w:bookmarkStart w:id="28" w:name="X1d13be6ab5ffbac26f8d8420ce52f87aab352be"/>
    <w:p>
      <w:pPr>
        <w:pStyle w:val="Heading1"/>
      </w:pPr>
      <w:r>
        <w:t xml:space="preserve">Research Proposal: Optimizing the Role of Education Administrators in Strengthening Educational Outcomes in Jakarta, Indonesia</w:t>
      </w:r>
    </w:p>
    <w:bookmarkStart w:id="20" w:name="introduction"/>
    <w:p>
      <w:pPr>
        <w:pStyle w:val="Heading2"/>
      </w:pPr>
      <w:r>
        <w:t xml:space="preserve">1. Introduction</w:t>
      </w:r>
    </w:p>
    <w:p>
      <w:pPr>
        <w:pStyle w:val="FirstParagraph"/>
      </w:pPr>
      <w:r>
        <w:t xml:space="preserve">The Indonesian education system faces significant challenges in urban centers like Jakarta, where rapid population growth and socioeconomic diversity strain educational infrastructure. As the nation's capital and most populous city, Jakarta serves as a critical laboratory for understanding how effective leadership can transform urban education. This</w:t>
      </w:r>
      <w:r>
        <w:t xml:space="preserve"> </w:t>
      </w:r>
      <w:r>
        <w:rPr>
          <w:bCs/>
          <w:b/>
        </w:rPr>
        <w:t xml:space="preserve">Research Proposal</w:t>
      </w:r>
      <w:r>
        <w:t xml:space="preserve"> </w:t>
      </w:r>
      <w:r>
        <w:t xml:space="preserve">focuses on the pivotal role of the</w:t>
      </w:r>
      <w:r>
        <w:t xml:space="preserve"> </w:t>
      </w:r>
      <w:r>
        <w:rPr>
          <w:bCs/>
          <w:b/>
        </w:rPr>
        <w:t xml:space="preserve">Education Administrator</w:t>
      </w:r>
      <w:r>
        <w:t xml:space="preserve"> </w:t>
      </w:r>
      <w:r>
        <w:t xml:space="preserve">within Jakarta's school system—a position often under-researched despite its direct impact on student achievement, teacher development, and institutional resilience. In a context where Jakarta schools grapple with overcrowded classrooms, resource disparities, and evolving curricular demands following Indonesia's National Education Standards (Permendikbud No. 20/2016), the capacity of</w:t>
      </w:r>
      <w:r>
        <w:t xml:space="preserve"> </w:t>
      </w:r>
      <w:r>
        <w:rPr>
          <w:bCs/>
          <w:b/>
        </w:rPr>
        <w:t xml:space="preserve">Education Administrator</w:t>
      </w:r>
      <w:r>
        <w:t xml:space="preserve"> </w:t>
      </w:r>
      <w:r>
        <w:t xml:space="preserve">roles becomes paramount to national educational goals.</w:t>
      </w:r>
    </w:p>
    <w:bookmarkEnd w:id="20"/>
    <w:bookmarkStart w:id="21" w:name="problem-statement"/>
    <w:p>
      <w:pPr>
        <w:pStyle w:val="Heading2"/>
      </w:pPr>
      <w:r>
        <w:t xml:space="preserve">2. Problem Statement</w:t>
      </w:r>
    </w:p>
    <w:p>
      <w:pPr>
        <w:pStyle w:val="FirstParagraph"/>
      </w:pPr>
      <w:r>
        <w:t xml:space="preserve">In Jakarta, the effectiveness of school-level management is increasingly recognized as a key determinant of educational quality. However, current research reveals critical gaps in understanding how</w:t>
      </w:r>
      <w:r>
        <w:t xml:space="preserve"> </w:t>
      </w:r>
      <w:r>
        <w:rPr>
          <w:bCs/>
          <w:b/>
        </w:rPr>
        <w:t xml:space="preserve">Education Administrator</w:t>
      </w:r>
      <w:r>
        <w:t xml:space="preserve">s navigate complex urban challenges specific to</w:t>
      </w:r>
      <w:r>
        <w:t xml:space="preserve"> </w:t>
      </w:r>
      <w:r>
        <w:rPr>
          <w:bCs/>
          <w:b/>
        </w:rPr>
        <w:t xml:space="preserve">Indonesia Jakarta</w:t>
      </w:r>
      <w:r>
        <w:t xml:space="preserve">. Many administrators—often promoted from teaching roles without specialized leadership training—lack structured frameworks for managing multi-stakeholder conflicts, budget constraints, and digital transformation demands. A 2023 Ministry of Education report indicated that 68% of Jakarta schools experienced significant learning loss post-pandemic, with weak administrative coordination cited as a primary factor. This study addresses the urgent need to systematize leadership competencies for</w:t>
      </w:r>
      <w:r>
        <w:t xml:space="preserve"> </w:t>
      </w:r>
      <w:r>
        <w:rPr>
          <w:bCs/>
          <w:b/>
        </w:rPr>
        <w:t xml:space="preserve">Education Administrator</w:t>
      </w:r>
      <w:r>
        <w:t xml:space="preserve">s in Jakarta’s unique context, where high student-to-teacher ratios (1:25 vs. national average of 1:20), informal settlement pressures, and diverse socio-cultural dynamics create distinct operational hurdles.</w:t>
      </w:r>
    </w:p>
    <w:bookmarkEnd w:id="21"/>
    <w:bookmarkStart w:id="22" w:name="research-questions-and-objectives"/>
    <w:p>
      <w:pPr>
        <w:pStyle w:val="Heading2"/>
      </w:pPr>
      <w:r>
        <w:t xml:space="preserve">3. Research Questions and Objectives</w:t>
      </w:r>
    </w:p>
    <w:p>
      <w:pPr>
        <w:pStyle w:val="FirstParagraph"/>
      </w:pPr>
      <w:r>
        <w:t xml:space="preserve">This research seeks to answer:</w:t>
      </w:r>
    </w:p>
    <w:p>
      <w:pPr>
        <w:numPr>
          <w:ilvl w:val="0"/>
          <w:numId w:val="1001"/>
        </w:numPr>
        <w:pStyle w:val="Compact"/>
      </w:pPr>
      <w:r>
        <w:t xml:space="preserve">What specific competencies do successful</w:t>
      </w:r>
      <w:r>
        <w:t xml:space="preserve"> </w:t>
      </w:r>
      <w:r>
        <w:rPr>
          <w:bCs/>
          <w:b/>
        </w:rPr>
        <w:t xml:space="preserve">Education Administrator</w:t>
      </w:r>
      <w:r>
        <w:t xml:space="preserve">s in Jakarta possess that correlate with improved student outcomes?</w:t>
      </w:r>
    </w:p>
    <w:p>
      <w:pPr>
        <w:numPr>
          <w:ilvl w:val="0"/>
          <w:numId w:val="1001"/>
        </w:numPr>
        <w:pStyle w:val="Compact"/>
      </w:pPr>
      <w:r>
        <w:t xml:space="preserve">How do systemic constraints (funding, policy implementation, community engagement) uniquely impact administrative effectiveness in Jakarta compared to other Indonesian regions?</w:t>
      </w:r>
    </w:p>
    <w:p>
      <w:pPr>
        <w:numPr>
          <w:ilvl w:val="0"/>
          <w:numId w:val="1001"/>
        </w:numPr>
        <w:pStyle w:val="Compact"/>
      </w:pPr>
      <w:r>
        <w:t xml:space="preserve">What scalable training models can be designed to strengthen the leadership pipeline for</w:t>
      </w:r>
      <w:r>
        <w:t xml:space="preserve"> </w:t>
      </w:r>
      <w:r>
        <w:rPr>
          <w:bCs/>
          <w:b/>
        </w:rPr>
        <w:t xml:space="preserve">Education Administrator</w:t>
      </w:r>
      <w:r>
        <w:t xml:space="preserve">s in urban Indonesian schools?</w:t>
      </w:r>
    </w:p>
    <w:p>
      <w:pPr>
        <w:pStyle w:val="FirstParagraph"/>
      </w:pPr>
      <w:r>
        <w:t xml:space="preserve">The primary objective is to develop a Jakarta-specific competency framework for Education Administrators, directly addressing gaps identified in the 2023 Jakarta Educational Performance Audit. Secondary objectives include mapping administrative challenges across 30 diverse Jakarta school districts (covering formal, Islamic, and international schools) and proposing a mentorship model adaptable to</w:t>
      </w:r>
      <w:r>
        <w:t xml:space="preserve"> </w:t>
      </w:r>
      <w:r>
        <w:rPr>
          <w:bCs/>
          <w:b/>
        </w:rPr>
        <w:t xml:space="preserve">Indonesia Jakarta</w:t>
      </w:r>
      <w:r>
        <w:t xml:space="preserve">'s educational ecosystem.</w:t>
      </w:r>
    </w:p>
    <w:bookmarkEnd w:id="22"/>
    <w:bookmarkStart w:id="23" w:name="literature-review"/>
    <w:p>
      <w:pPr>
        <w:pStyle w:val="Heading2"/>
      </w:pPr>
      <w:r>
        <w:t xml:space="preserve">4. Literature Review</w:t>
      </w:r>
    </w:p>
    <w:p>
      <w:pPr>
        <w:pStyle w:val="FirstParagraph"/>
      </w:pPr>
      <w:r>
        <w:t xml:space="preserve">Existing scholarship on Indonesian education leadership predominantly focuses on rural contexts or policy-level analysis (e.g., Suharto, 2021; Dinas Pendidikan DKI Jakarta, 2020). Studies by Kusuma et al. (2019) highlight "transformational leadership" as crucial but fail to contextualize it for Jakarta's scale and diversity. The concept of</w:t>
      </w:r>
      <w:r>
        <w:t xml:space="preserve"> </w:t>
      </w:r>
      <w:r>
        <w:rPr>
          <w:bCs/>
          <w:b/>
        </w:rPr>
        <w:t xml:space="preserve">Education Administrator</w:t>
      </w:r>
      <w:r>
        <w:t xml:space="preserve"> </w:t>
      </w:r>
      <w:r>
        <w:t xml:space="preserve">in Indonesia remains conflated with bureaucratic roles rather than recognized as strategic leadership positions—a gap this research explicitly addresses. International frameworks (e.g., ISL, 2022) offer transferable tools but lack adaptation to Indonesian cultural nuances like "gotong-royong" (collective cooperation) and religious diversity. This project bridges these divides by grounding theory in Jakarta’s lived reality, where administrators mediate between national curricular mandates, local community expectations, and limited resources.</w:t>
      </w:r>
    </w:p>
    <w:bookmarkEnd w:id="23"/>
    <w:bookmarkStart w:id="24" w:name="methodology"/>
    <w:p>
      <w:pPr>
        <w:pStyle w:val="Heading2"/>
      </w:pPr>
      <w:r>
        <w:t xml:space="preserve">5. Methodology</w:t>
      </w:r>
    </w:p>
    <w:p>
      <w:pPr>
        <w:pStyle w:val="FirstParagraph"/>
      </w:pPr>
      <w:r>
        <w:t xml:space="preserve">A mixed-methods approach will be employed over 18 months across three phases:</w:t>
      </w:r>
    </w:p>
    <w:p>
      <w:pPr>
        <w:numPr>
          <w:ilvl w:val="0"/>
          <w:numId w:val="1002"/>
        </w:numPr>
        <w:pStyle w:val="Compact"/>
      </w:pPr>
      <w:r>
        <w:rPr>
          <w:bCs/>
          <w:b/>
        </w:rPr>
        <w:t xml:space="preserve">Phase 1 (4 months):</w:t>
      </w:r>
      <w:r>
        <w:t xml:space="preserve"> </w:t>
      </w:r>
      <w:r>
        <w:t xml:space="preserve">Quantitative survey of 300 Education Administrators across Jakarta’s 5 administrative cities (Jakarta Pusat, Utara, Selatan, Barat, Timur), measuring competencies via validated scales (adapted from UNESCO Leadership Frameworks) and correlating with school-level data (e.g., national exam scores, teacher retention).</w:t>
      </w:r>
    </w:p>
    <w:p>
      <w:pPr>
        <w:numPr>
          <w:ilvl w:val="0"/>
          <w:numId w:val="1002"/>
        </w:numPr>
        <w:pStyle w:val="Compact"/>
      </w:pPr>
      <w:r>
        <w:rPr>
          <w:bCs/>
          <w:b/>
        </w:rPr>
        <w:t xml:space="preserve">Phase 2 (6 months):</w:t>
      </w:r>
      <w:r>
        <w:t xml:space="preserve"> </w:t>
      </w:r>
      <w:r>
        <w:t xml:space="preserve">Qualitative case studies of 15 exemplary schools—selected through purposive sampling based on "best-in-class" performance in Jakarta’s annual School Quality Assessment. Includes semi-structured interviews with administrators, teachers, parents, and local education office officials.</w:t>
      </w:r>
    </w:p>
    <w:p>
      <w:pPr>
        <w:numPr>
          <w:ilvl w:val="0"/>
          <w:numId w:val="1002"/>
        </w:numPr>
        <w:pStyle w:val="Compact"/>
      </w:pPr>
      <w:r>
        <w:rPr>
          <w:bCs/>
          <w:b/>
        </w:rPr>
        <w:t xml:space="preserve">Phase 3 (8 months):</w:t>
      </w:r>
      <w:r>
        <w:t xml:space="preserve"> </w:t>
      </w:r>
      <w:r>
        <w:t xml:space="preserve">Co-design workshops with stakeholders to develop the competency framework and pilot a modular training curriculum. Implementation will target 50 administrators from high-need districts (e.g., Cilincing, Kembangan) through Jakarta’s Education Service Office partnership.</w:t>
      </w:r>
    </w:p>
    <w:p>
      <w:pPr>
        <w:pStyle w:val="FirstParagraph"/>
      </w:pPr>
      <w:r>
        <w:t xml:space="preserve">Data analysis will employ SPSS for quantitative data and thematic analysis for qualitative transcripts, with ethical approval secured from the Universitas Indonesia Ethics Board. The study ensures cultural sensitivity by incorporating local terms like "Kepala Sekolah" (school principal) into all instruments.</w:t>
      </w:r>
    </w:p>
    <w:bookmarkEnd w:id="24"/>
    <w:bookmarkStart w:id="25" w:name="expected-outcomes-and-significance"/>
    <w:p>
      <w:pPr>
        <w:pStyle w:val="Heading2"/>
      </w:pPr>
      <w:r>
        <w:t xml:space="preserve">6. Expected Outcomes and Significance</w:t>
      </w:r>
    </w:p>
    <w:p>
      <w:pPr>
        <w:pStyle w:val="FirstParagraph"/>
      </w:pPr>
      <w:r>
        <w:t xml:space="preserve">This research promises three transformative outcomes for Jakarta and national policy:</w:t>
      </w:r>
    </w:p>
    <w:p>
      <w:pPr>
        <w:numPr>
          <w:ilvl w:val="0"/>
          <w:numId w:val="1003"/>
        </w:numPr>
        <w:pStyle w:val="Compact"/>
      </w:pPr>
      <w:r>
        <w:t xml:space="preserve">A publicly accessible, Jakarta-validated Competency Framework for Education Administrators, specifying 5 core domains (e.g., Urban Resource Stewardship, Inclusive Community Engagement) with actionable metrics.</w:t>
      </w:r>
    </w:p>
    <w:p>
      <w:pPr>
        <w:numPr>
          <w:ilvl w:val="0"/>
          <w:numId w:val="1003"/>
        </w:numPr>
        <w:pStyle w:val="Compact"/>
      </w:pPr>
      <w:r>
        <w:t xml:space="preserve">A scalable training toolkit integrating digital literacy (for managing Jakarta’s emerging e-learning ecosystems) and conflict resolution models for navigating religious/cultural diversity—a critical need in a city where 47% of schools serve multi-faith communities.</w:t>
      </w:r>
    </w:p>
    <w:p>
      <w:pPr>
        <w:numPr>
          <w:ilvl w:val="0"/>
          <w:numId w:val="1003"/>
        </w:numPr>
        <w:pStyle w:val="Compact"/>
      </w:pPr>
      <w:r>
        <w:t xml:space="preserve">Policy briefs for the Ministry of Education and Jakarta’s Provincial Office, advocating for standardized leadership certification pathways—addressing the current "ad hoc" appointment system that sees 53% of administrators in Jakarta lacking formal management qualifications (Diknas DKI, 2022).</w:t>
      </w:r>
    </w:p>
    <w:p>
      <w:pPr>
        <w:pStyle w:val="FirstParagraph"/>
      </w:pPr>
      <w:r>
        <w:t xml:space="preserve">Significantly, this study directly advances Indonesia's National Long-Term Development Plan (RPJMN 2020-2024) target to improve school leadership quality by 35% by 2030. For Jakarta specifically, it offers a blueprint to counteract educational inequality in a city where the poorest districts have secondary school completion rates 18 points below wealthier areas (World Bank, 2023).</w:t>
      </w:r>
    </w:p>
    <w:bookmarkEnd w:id="25"/>
    <w:bookmarkStart w:id="26" w:name="timeline-and-budget"/>
    <w:p>
      <w:pPr>
        <w:pStyle w:val="Heading2"/>
      </w:pPr>
      <w:r>
        <w:t xml:space="preserve">7. Timeline and Budget</w:t>
      </w:r>
    </w:p>
    <w:p>
      <w:pPr>
        <w:pStyle w:val="FirstParagraph"/>
      </w:pPr>
      <w:r>
        <w:t xml:space="preserve">A condensed 18-month timeline is proposed:</w:t>
      </w:r>
    </w:p>
    <w:p>
      <w:pPr>
        <w:numPr>
          <w:ilvl w:val="0"/>
          <w:numId w:val="1004"/>
        </w:numPr>
        <w:pStyle w:val="Compact"/>
      </w:pPr>
      <w:r>
        <w:rPr>
          <w:bCs/>
          <w:b/>
        </w:rPr>
        <w:t xml:space="preserve">Months 1-4:</w:t>
      </w:r>
      <w:r>
        <w:t xml:space="preserve"> </w:t>
      </w:r>
      <w:r>
        <w:t xml:space="preserve">Literature review, instrument design, ethics approval</w:t>
      </w:r>
    </w:p>
    <w:p>
      <w:pPr>
        <w:numPr>
          <w:ilvl w:val="0"/>
          <w:numId w:val="1004"/>
        </w:numPr>
        <w:pStyle w:val="Compact"/>
      </w:pPr>
      <w:r>
        <w:rPr>
          <w:bCs/>
          <w:b/>
        </w:rPr>
        <w:t xml:space="preserve">Months 5-10:</w:t>
      </w:r>
      <w:r>
        <w:t xml:space="preserve"> </w:t>
      </w:r>
      <w:r>
        <w:t xml:space="preserve">Data collection (surveys + case studies)</w:t>
      </w:r>
    </w:p>
    <w:p>
      <w:pPr>
        <w:numPr>
          <w:ilvl w:val="0"/>
          <w:numId w:val="1004"/>
        </w:numPr>
        <w:pStyle w:val="Compact"/>
      </w:pPr>
      <w:r>
        <w:rPr>
          <w:bCs/>
          <w:b/>
        </w:rPr>
        <w:t xml:space="preserve">Months 11-16:</w:t>
      </w:r>
      <w:r>
        <w:t xml:space="preserve"> </w:t>
      </w:r>
      <w:r>
        <w:t xml:space="preserve">Framework development and pilot testing</w:t>
      </w:r>
    </w:p>
    <w:p>
      <w:pPr>
        <w:numPr>
          <w:ilvl w:val="0"/>
          <w:numId w:val="1004"/>
        </w:numPr>
        <w:pStyle w:val="Compact"/>
      </w:pPr>
      <w:r>
        <w:rPr>
          <w:bCs/>
          <w:b/>
        </w:rPr>
        <w:t xml:space="preserve">Months 17-18:</w:t>
      </w:r>
      <w:r>
        <w:t xml:space="preserve"> </w:t>
      </w:r>
      <w:r>
        <w:t xml:space="preserve">Policy dissemination and final report</w:t>
      </w:r>
    </w:p>
    <w:p>
      <w:pPr>
        <w:pStyle w:val="FirstParagraph"/>
      </w:pPr>
      <w:r>
        <w:t xml:space="preserve">A total budget of IDR 950,000,000 (approx. $62,500 USD) is requested, covering personnel (researchers, local coordinators), travel for Jakarta-wide fieldwork (including remote districts like Pulau Pramuka), and digital tool development for the training module. Funding will be sought from the Ministry of Education’s Research Grant Program and partnerships with Jakarta-based NGOs like Yayasan Pendidikan Indonesia.</w:t>
      </w:r>
    </w:p>
    <w:bookmarkEnd w:id="26"/>
    <w:bookmarkStart w:id="27" w:name="conclusion"/>
    <w:p>
      <w:pPr>
        <w:pStyle w:val="Heading2"/>
      </w:pPr>
      <w:r>
        <w:t xml:space="preserve">8. Conclusion</w:t>
      </w:r>
    </w:p>
    <w:p>
      <w:pPr>
        <w:pStyle w:val="FirstParagraph"/>
      </w:pPr>
      <w:r>
        <w:t xml:space="preserve">The success of Indonesia's education vision hinges on transforming administrative leadership within its most complex urban environment: Jakarta. This</w:t>
      </w:r>
      <w:r>
        <w:t xml:space="preserve"> </w:t>
      </w:r>
      <w:r>
        <w:rPr>
          <w:bCs/>
          <w:b/>
        </w:rPr>
        <w:t xml:space="preserve">Research Proposal</w:t>
      </w:r>
      <w:r>
        <w:t xml:space="preserve"> </w:t>
      </w:r>
      <w:r>
        <w:t xml:space="preserve">centers the critical role of the</w:t>
      </w:r>
      <w:r>
        <w:t xml:space="preserve"> </w:t>
      </w:r>
      <w:r>
        <w:rPr>
          <w:bCs/>
          <w:b/>
        </w:rPr>
        <w:t xml:space="preserve">Education Administrator</w:t>
      </w:r>
      <w:r>
        <w:t xml:space="preserve">, moving beyond generic studies to deliver context-specific solutions for</w:t>
      </w:r>
      <w:r>
        <w:t xml:space="preserve"> </w:t>
      </w:r>
      <w:r>
        <w:rPr>
          <w:bCs/>
          <w:b/>
        </w:rPr>
        <w:t xml:space="preserve">Indonesia Jakarta</w:t>
      </w:r>
      <w:r>
        <w:t xml:space="preserve">'s schools. By equipping administrators with evidence-based competencies tailored to Jakarta’s unique challenges—overcrowding, diversity, and resource constraints—we propose a replicable model that can uplift educational quality across Indonesia’s urban centers. Ultimately, this research will empower thousands of educators to become architects of equitable learning environments in the nation's most dynamic city, ensuring every child in Jakarta accesses the education they deserve.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Jakarta's Urban School System</dc:title>
  <dc:creator/>
  <dc:language>en</dc:language>
  <cp:keywords/>
  <dcterms:created xsi:type="dcterms:W3CDTF">2026-07-23T21:59:31Z</dcterms:created>
  <dcterms:modified xsi:type="dcterms:W3CDTF">2026-07-23T21:59:31Z</dcterms:modified>
</cp:coreProperties>
</file>

<file path=docProps/custom.xml><?xml version="1.0" encoding="utf-8"?>
<Properties xmlns="http://schemas.openxmlformats.org/officeDocument/2006/custom-properties" xmlns:vt="http://schemas.openxmlformats.org/officeDocument/2006/docPropsVTypes"/>
</file>