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0f3e7c3cc898989b3b1952996b03a386ed3b62"/>
    <w:p>
      <w:pPr>
        <w:pStyle w:val="Heading1"/>
      </w:pPr>
      <w:r>
        <w:t xml:space="preserve">Research Proposal: Optimizing the Role of Education Administrators in Advancing Equity and Excellence within New Zealand Wellington's Educational Ecosystem</w:t>
      </w:r>
    </w:p>
    <w:bookmarkStart w:id="20" w:name="introduction-and-background"/>
    <w:p>
      <w:pPr>
        <w:pStyle w:val="Heading2"/>
      </w:pPr>
      <w:r>
        <w:t xml:space="preserve">1. Introduction and Background</w:t>
      </w:r>
    </w:p>
    <w:p>
      <w:pPr>
        <w:pStyle w:val="FirstParagraph"/>
      </w:pPr>
      <w:r>
        <w:t xml:space="preserve">The educational landscape of New Zealand Wellington presents a dynamic yet complex environment where strategic leadership is paramount. As the capital city and a hub for educational innovation, Wellington houses diverse institutions ranging from primary schools serving Māori and Pacific communities to tertiary institutions driving research excellence. Central to navigating these complexities is the</w:t>
      </w:r>
      <w:r>
        <w:t xml:space="preserve"> </w:t>
      </w:r>
      <w:r>
        <w:rPr>
          <w:bCs/>
          <w:b/>
        </w:rPr>
        <w:t xml:space="preserve">Education Administrator</w:t>
      </w:r>
      <w:r>
        <w:t xml:space="preserve">, whose role transcends bureaucratic oversight to become a catalyst for systemic change. This</w:t>
      </w:r>
      <w:r>
        <w:t xml:space="preserve"> </w:t>
      </w:r>
      <w:r>
        <w:rPr>
          <w:bCs/>
          <w:b/>
        </w:rPr>
        <w:t xml:space="preserve">Research Proposal</w:t>
      </w:r>
      <w:r>
        <w:t xml:space="preserve"> </w:t>
      </w:r>
      <w:r>
        <w:t xml:space="preserve">addresses a critical gap in understanding how Education Administrators can be empowered to address unique challenges in New Zealand's political, cultural, and socioeconomic context—specifically within Wellington. With rising pressures on student achievement gaps, resource allocation inequities, and the implementation of Te Whāriki (early childhood curriculum) and The New Zealand Curriculum (2007), the need for evidence-based administrative strategies has never been more urgent.</w:t>
      </w:r>
    </w:p>
    <w:bookmarkEnd w:id="20"/>
    <w:bookmarkStart w:id="21" w:name="problem-statement"/>
    <w:p>
      <w:pPr>
        <w:pStyle w:val="Heading2"/>
      </w:pPr>
      <w:r>
        <w:t xml:space="preserve">2. Problem Statement</w:t>
      </w:r>
    </w:p>
    <w:p>
      <w:pPr>
        <w:pStyle w:val="FirstParagraph"/>
      </w:pPr>
      <w:r>
        <w:t xml:space="preserve">Despite Wellington’s status as a national leader in education policy development, localized challenges persist. Recent Ministry of Education reports indicate that schools in Wellington’s socioeconomically disadvantaged areas (e.g., Miramar, Johnsonville) face 15–20% higher staff turnover rates than city averages. Crucially,</w:t>
      </w:r>
      <w:r>
        <w:t xml:space="preserve"> </w:t>
      </w:r>
      <w:r>
        <w:rPr>
          <w:bCs/>
          <w:b/>
        </w:rPr>
        <w:t xml:space="preserve">Education Administrator</w:t>
      </w:r>
      <w:r>
        <w:t xml:space="preserve"> </w:t>
      </w:r>
      <w:r>
        <w:t xml:space="preserve">roles—often under-resourced and undefined—struggle to implement culturally responsive policies due to fragmented support structures. This research identifies a critical void: while national frameworks exist, there is no granular understanding of how administrators in Wellington navigate local barriers including Māori student engagement, urban migration patterns, and climate resilience planning. Without targeted intervention, Wellington risks falling short of Prime Minister’s 2030 Education Goals for equity and excellence.</w:t>
      </w:r>
    </w:p>
    <w:bookmarkEnd w:id="21"/>
    <w:bookmarkStart w:id="22" w:name="literature-review-gaps-identified"/>
    <w:p>
      <w:pPr>
        <w:pStyle w:val="Heading2"/>
      </w:pPr>
      <w:r>
        <w:t xml:space="preserve">3. Literature Review (Gaps Identified)</w:t>
      </w:r>
    </w:p>
    <w:p>
      <w:pPr>
        <w:pStyle w:val="FirstParagraph"/>
      </w:pPr>
      <w:r>
        <w:t xml:space="preserve">National studies (e.g., Ministry of Education, 2021) emphasize administrative leadership’s role in school improvement but largely overlook regional nuances. Global literature highlights "distributed leadership" models (Spillane, 2006), yet these rarely adapt to New Zealand’s Treaty of Waitangi obligations or Wellington’s unique urban-rural interface. Crucially, no research has examined how Education Administrators in Wellington leverage the city’s ecosystem—such as partnerships with Victoria University or the Museum of New Zealand Te Papa—to address localized challenges. This study bridges that gap by centering</w:t>
      </w:r>
      <w:r>
        <w:t xml:space="preserve"> </w:t>
      </w:r>
      <w:r>
        <w:rPr>
          <w:bCs/>
          <w:b/>
        </w:rPr>
        <w:t xml:space="preserve">New Zealand Wellington</w:t>
      </w:r>
      <w:r>
        <w:t xml:space="preserve"> </w:t>
      </w:r>
      <w:r>
        <w:t xml:space="preserve">as both context and solution.</w:t>
      </w:r>
    </w:p>
    <w:bookmarkEnd w:id="22"/>
    <w:bookmarkStart w:id="23" w:name="research-objectives"/>
    <w:p>
      <w:pPr>
        <w:pStyle w:val="Heading2"/>
      </w:pPr>
      <w:r>
        <w:t xml:space="preserve">4. Research Objectives</w:t>
      </w:r>
    </w:p>
    <w:p>
      <w:pPr>
        <w:numPr>
          <w:ilvl w:val="0"/>
          <w:numId w:val="1001"/>
        </w:numPr>
        <w:pStyle w:val="Compact"/>
      </w:pPr>
      <w:r>
        <w:t xml:space="preserve">To map the current responsibilities, challenges, and professional development needs of Education Administrators across Wellington’s public school sectors (K–13).</w:t>
      </w:r>
    </w:p>
    <w:p>
      <w:pPr>
        <w:numPr>
          <w:ilvl w:val="0"/>
          <w:numId w:val="1001"/>
        </w:numPr>
        <w:pStyle w:val="Compact"/>
      </w:pPr>
      <w:r>
        <w:t xml:space="preserve">To evaluate how Wellington-based administrators operationalize Te Tiriti o Waitangi principles within resource-constrained environments.</w:t>
      </w:r>
    </w:p>
    <w:p>
      <w:pPr>
        <w:numPr>
          <w:ilvl w:val="0"/>
          <w:numId w:val="1001"/>
        </w:numPr>
        <w:pStyle w:val="Compact"/>
      </w:pPr>
      <w:r>
        <w:t xml:space="preserve">To co-design a context-specific administrative framework for Equity-Driven Leadership (EDL) tailored to New Zealand Wellington's urban educational ecosystem.</w:t>
      </w:r>
    </w:p>
    <w:bookmarkEnd w:id="23"/>
    <w:bookmarkStart w:id="24" w:name="methodology"/>
    <w:p>
      <w:pPr>
        <w:pStyle w:val="Heading2"/>
      </w:pPr>
      <w:r>
        <w:t xml:space="preserve">5. Methodology</w:t>
      </w:r>
    </w:p>
    <w:p>
      <w:pPr>
        <w:pStyle w:val="FirstParagraph"/>
      </w:pPr>
      <w:r>
        <w:t xml:space="preserve">This mixed-methods study employs a participatory action research (PAR) approach, prioritizing practitioner voices. Phase 1 involves surveys of 120 Education Administrators across Wellington’s 79 state schools (using stratified sampling to include high-decile, low-decile, and kura kaupapa Māori institutions). Phase 2 conducts semi-structured interviews with 30 administrators and key stakeholders (e.g., Wellington Educational Leadership Institute, local Iwi representatives). Data will be analyzed using thematic analysis (Braun &amp; Clarke, 2006) with a focus on identifying culturally responsive strategies. Crucially, all findings will be validated in Wellington-based co-design workshops to ensure practical utility for the city’s educational ecosystem.</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New Zealand’s strategic priorities: Te Tiriti o Waitangi implementation (National Strategy 2020–30), the Ministry’s Equity Action Plan, and Wellington City Council’s Urban Futures strategy. By centering Wellington as a living laboratory, the research will produce:</w:t>
      </w:r>
    </w:p>
    <w:p>
      <w:pPr>
        <w:numPr>
          <w:ilvl w:val="0"/>
          <w:numId w:val="1002"/>
        </w:numPr>
        <w:pStyle w:val="Compact"/>
      </w:pPr>
      <w:r>
        <w:t xml:space="preserve">A publicly accessible toolkit for Education Administrators on integrating local knowledge (e.g., Māori pedagogical approaches) into daily operations.</w:t>
      </w:r>
    </w:p>
    <w:p>
      <w:pPr>
        <w:numPr>
          <w:ilvl w:val="0"/>
          <w:numId w:val="1002"/>
        </w:numPr>
        <w:pStyle w:val="Compact"/>
      </w:pPr>
      <w:r>
        <w:t xml:space="preserve">A policy brief for the Ministry of Education addressing administrative role standardization in Wellington’s unique context.</w:t>
      </w:r>
    </w:p>
    <w:p>
      <w:pPr>
        <w:numPr>
          <w:ilvl w:val="0"/>
          <w:numId w:val="1002"/>
        </w:numPr>
        <w:pStyle w:val="Compact"/>
      </w:pPr>
      <w:r>
        <w:t xml:space="preserve">Co-developed professional learning pathways with Victoria University of Wellington, targeting 50 administrators annually by 2027.</w:t>
      </w:r>
    </w:p>
    <w:p>
      <w:pPr>
        <w:pStyle w:val="FirstParagraph"/>
      </w:pPr>
      <w:r>
        <w:t xml:space="preserve">Most significantly, it addresses systemic inequity by shifting the focus from "fixing schools" to empowering Education Administrators as agents of sustainable change. For example, findings may reveal how administrators in Wellington’s coastal communities (e.g., Oriental Bay) can leverage marine education partnerships to boost student engagement—transforming local challenges into opportunities.</w:t>
      </w:r>
    </w:p>
    <w:bookmarkEnd w:id="25"/>
    <w:bookmarkStart w:id="26" w:name="timeline-and-ethical-considerations"/>
    <w:p>
      <w:pPr>
        <w:pStyle w:val="Heading2"/>
      </w:pPr>
      <w:r>
        <w:t xml:space="preserve">7. Timeline and Ethical Considerations</w:t>
      </w:r>
    </w:p>
    <w:p>
      <w:pPr>
        <w:pStyle w:val="FirstParagraph"/>
      </w:pPr>
      <w:r>
        <w:t xml:space="preserve">The 18-month project commences January 2025 with ethics approval from the University of Wellington’s Human Ethics Committee. Key milestones include:</w:t>
      </w:r>
    </w:p>
    <w:p>
      <w:pPr>
        <w:numPr>
          <w:ilvl w:val="0"/>
          <w:numId w:val="1003"/>
        </w:numPr>
        <w:pStyle w:val="Compact"/>
      </w:pPr>
      <w:r>
        <w:rPr>
          <w:bCs/>
          <w:b/>
        </w:rPr>
        <w:t xml:space="preserve">Months 1–3:</w:t>
      </w:r>
      <w:r>
        <w:t xml:space="preserve"> </w:t>
      </w:r>
      <w:r>
        <w:t xml:space="preserve">Stakeholder consultation (Wellington education leaders, Māori and Pacific community groups).</w:t>
      </w:r>
    </w:p>
    <w:p>
      <w:pPr>
        <w:numPr>
          <w:ilvl w:val="0"/>
          <w:numId w:val="1003"/>
        </w:numPr>
        <w:pStyle w:val="Compact"/>
      </w:pPr>
      <w:r>
        <w:rPr>
          <w:bCs/>
          <w:b/>
        </w:rPr>
        <w:t xml:space="preserve">Months 4–9:</w:t>
      </w:r>
      <w:r>
        <w:t xml:space="preserve"> </w:t>
      </w:r>
      <w:r>
        <w:t xml:space="preserve">Data collection across Wellington’s schools.</w:t>
      </w:r>
    </w:p>
    <w:p>
      <w:pPr>
        <w:numPr>
          <w:ilvl w:val="0"/>
          <w:numId w:val="1003"/>
        </w:numPr>
        <w:pStyle w:val="Compact"/>
      </w:pPr>
      <w:r>
        <w:rPr>
          <w:bCs/>
          <w:b/>
        </w:rPr>
        <w:t xml:space="preserve">Months 10–15:</w:t>
      </w:r>
      <w:r>
        <w:t xml:space="preserve"> </w:t>
      </w:r>
      <w:r>
        <w:t xml:space="preserve">Co-design workshops and toolkit development.</w:t>
      </w:r>
    </w:p>
    <w:p>
      <w:pPr>
        <w:numPr>
          <w:ilvl w:val="0"/>
          <w:numId w:val="1003"/>
        </w:numPr>
        <w:pStyle w:val="Compact"/>
      </w:pPr>
      <w:r>
        <w:rPr>
          <w:bCs/>
          <w:b/>
        </w:rPr>
        <w:t xml:space="preserve">Months 16–18:</w:t>
      </w:r>
      <w:r>
        <w:t xml:space="preserve"> </w:t>
      </w:r>
      <w:r>
        <w:t xml:space="preserve">Final report and policy advocacy with the Ministry of Education and Wellington City Council.</w:t>
      </w:r>
    </w:p>
    <w:p>
      <w:pPr>
        <w:pStyle w:val="FirstParagraph"/>
      </w:pPr>
      <w:r>
        <w:t xml:space="preserve">All participants will provide informed consent, with data anonymized to protect privacy. Māori research principles (kaitiakitanga) guide the project, ensuring community ownership of findings through iwi liaison officers.</w:t>
      </w:r>
    </w:p>
    <w:bookmarkEnd w:id="26"/>
    <w:bookmarkStart w:id="27" w:name="conclusion-why-wellington-matters"/>
    <w:p>
      <w:pPr>
        <w:pStyle w:val="Heading2"/>
      </w:pPr>
      <w:r>
        <w:t xml:space="preserve">8. Conclusion: Why Wellington Matters</w:t>
      </w:r>
    </w:p>
    <w:p>
      <w:pPr>
        <w:pStyle w:val="FirstParagraph"/>
      </w:pPr>
      <w:r>
        <w:t xml:space="preserve">New Zealand Wellington is not merely a geographic location—it embodies the nation’s educational aspirations. As a city where policy meets practice, it offers an unparalleled lens to study how Education Administrators drive meaningful change. This</w:t>
      </w:r>
      <w:r>
        <w:t xml:space="preserve"> </w:t>
      </w:r>
      <w:r>
        <w:rPr>
          <w:bCs/>
          <w:b/>
        </w:rPr>
        <w:t xml:space="preserve">Research Proposal</w:t>
      </w:r>
      <w:r>
        <w:t xml:space="preserve"> </w:t>
      </w:r>
      <w:r>
        <w:t xml:space="preserve">recognizes that effective administration is the bedrock of equitable education systems. By investing in Wellington’s administrators today, we cultivate leaders who will not only transform local schools but also shape New Zealand’s educational future. The outcomes will resonate beyond Wellington, providing a replicable model for urban education systems globally while staying firmly rooted in Aotearoa’s unique bicultural identity.</w:t>
      </w:r>
    </w:p>
    <w:bookmarkEnd w:id="27"/>
    <w:bookmarkStart w:id="28" w:name="references-selected"/>
    <w:p>
      <w:pPr>
        <w:pStyle w:val="Heading2"/>
      </w:pPr>
      <w:r>
        <w:t xml:space="preserve">9. References (Selected)</w:t>
      </w:r>
    </w:p>
    <w:p>
      <w:pPr>
        <w:numPr>
          <w:ilvl w:val="0"/>
          <w:numId w:val="1004"/>
        </w:numPr>
        <w:pStyle w:val="Compact"/>
      </w:pPr>
      <w:r>
        <w:t xml:space="preserve">Ministry of Education. (2021).</w:t>
      </w:r>
      <w:r>
        <w:t xml:space="preserve"> </w:t>
      </w:r>
      <w:r>
        <w:rPr>
          <w:iCs/>
          <w:i/>
        </w:rPr>
        <w:t xml:space="preserve">Educational Leadership Framework: Supporting Growth and Equity</w:t>
      </w:r>
      <w:r>
        <w:t xml:space="preserve">. Wellington: NZ Government.</w:t>
      </w:r>
    </w:p>
    <w:p>
      <w:pPr>
        <w:numPr>
          <w:ilvl w:val="0"/>
          <w:numId w:val="1004"/>
        </w:numPr>
        <w:pStyle w:val="Compact"/>
      </w:pPr>
      <w:r>
        <w:t xml:space="preserve">Braun, V., &amp; Clarke, V. (2006). Using thematic analysis in psychology.</w:t>
      </w:r>
      <w:r>
        <w:t xml:space="preserve"> </w:t>
      </w:r>
      <w:r>
        <w:rPr>
          <w:iCs/>
          <w:i/>
        </w:rPr>
        <w:t xml:space="preserve">Qualitative Research in Psychology, 3</w:t>
      </w:r>
      <w:r>
        <w:t xml:space="preserve">(2), 77–101.</w:t>
      </w:r>
    </w:p>
    <w:p>
      <w:pPr>
        <w:numPr>
          <w:ilvl w:val="0"/>
          <w:numId w:val="1004"/>
        </w:numPr>
        <w:pStyle w:val="Compact"/>
      </w:pPr>
      <w:r>
        <w:t xml:space="preserve">Spillane, J.P. (2006).</w:t>
      </w:r>
      <w:r>
        <w:t xml:space="preserve"> </w:t>
      </w:r>
      <w:r>
        <w:rPr>
          <w:iCs/>
          <w:i/>
        </w:rPr>
        <w:t xml:space="preserve">Distributed Leadership</w:t>
      </w:r>
      <w:r>
        <w:t xml:space="preserve">. Jossey-Bass.</w:t>
      </w:r>
    </w:p>
    <w:p>
      <w:pPr>
        <w:numPr>
          <w:ilvl w:val="0"/>
          <w:numId w:val="1004"/>
        </w:numPr>
        <w:pStyle w:val="Compact"/>
      </w:pPr>
      <w:r>
        <w:t xml:space="preserve">Treaty of Waitangi (Te Tiriti o Waitangi) Act 1975. New Zealand Government Legislation.</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New Zealand Wellington</dc:title>
  <dc:creator/>
  <dc:language>en</dc:language>
  <cp:keywords/>
  <dcterms:created xsi:type="dcterms:W3CDTF">2026-07-23T22:28:10Z</dcterms:created>
  <dcterms:modified xsi:type="dcterms:W3CDTF">2026-07-23T22:28:10Z</dcterms:modified>
</cp:coreProperties>
</file>

<file path=docProps/custom.xml><?xml version="1.0" encoding="utf-8"?>
<Properties xmlns="http://schemas.openxmlformats.org/officeDocument/2006/custom-properties" xmlns:vt="http://schemas.openxmlformats.org/officeDocument/2006/docPropsVTypes"/>
</file>