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Leadership</w:t>
      </w:r>
      <w:r>
        <w:t xml:space="preserve"> </w:t>
      </w:r>
      <w:r>
        <w:t xml:space="preserve">in</w:t>
      </w:r>
      <w:r>
        <w:t xml:space="preserve"> </w:t>
      </w:r>
      <w:r>
        <w:t xml:space="preserve">Abu</w:t>
      </w:r>
      <w:r>
        <w:t xml:space="preserve"> </w:t>
      </w:r>
      <w:r>
        <w:t xml:space="preserve">Dhabi</w:t>
      </w:r>
    </w:p>
    <w:bookmarkStart w:id="28" w:name="Xcff66817f7dd09eb523725d7f39149fa3f6e72a"/>
    <w:p>
      <w:pPr>
        <w:pStyle w:val="Heading1"/>
      </w:pPr>
      <w:r>
        <w:t xml:space="preserve">Research Proposal: Enhancing the Role of Education Administrators in Achieving Excellence in Education Systems within the United Arab Emirates (Abu Dhabi)</w:t>
      </w:r>
    </w:p>
    <w:bookmarkStart w:id="20" w:name="introduction"/>
    <w:p>
      <w:pPr>
        <w:pStyle w:val="Heading2"/>
      </w:pPr>
      <w:r>
        <w:t xml:space="preserve">Introduction</w:t>
      </w:r>
    </w:p>
    <w:p>
      <w:pPr>
        <w:pStyle w:val="FirstParagraph"/>
      </w:pPr>
      <w:r>
        <w:t xml:space="preserve">The United Arab Emirates (UAE), particularly Abu Dhabi, has positioned itself as a global leader in educational innovation through ambitious initiatives like Abu Dhabi Early Childhood Authority's Vision 2030 and the UAE Vision 2050. Central to realizing these aspirations is the pivotal role of the</w:t>
      </w:r>
      <w:r>
        <w:t xml:space="preserve"> </w:t>
      </w:r>
      <w:r>
        <w:rPr>
          <w:iCs/>
          <w:i/>
        </w:rPr>
        <w:t xml:space="preserve">Education Administrator</w:t>
      </w:r>
      <w:r>
        <w:t xml:space="preserve">, who serves as the operational backbone of schools and educational institutions. Despite significant investments in infrastructure and curriculum, gaps persist in leadership capacity that directly impact student outcomes, teacher effectiveness, and systemic alignment with national goals. This</w:t>
      </w:r>
      <w:r>
        <w:t xml:space="preserve"> </w:t>
      </w:r>
      <w:r>
        <w:rPr>
          <w:bCs/>
          <w:b/>
        </w:rPr>
        <w:t xml:space="preserve">Research Proposal</w:t>
      </w:r>
      <w:r>
        <w:t xml:space="preserve"> </w:t>
      </w:r>
      <w:r>
        <w:t xml:space="preserve">addresses this critical gap by examining how Education Administrators can be empowered to drive sustainable educational excellence within the unique socio-cultural and regulatory framework of Abu Dhabi. The study will specifically focus on the UAE's commitment to fostering a knowledge-based economy through education, where effective leadership is non-negotiable for success.</w:t>
      </w:r>
    </w:p>
    <w:bookmarkEnd w:id="20"/>
    <w:bookmarkStart w:id="21" w:name="problem-statement"/>
    <w:p>
      <w:pPr>
        <w:pStyle w:val="Heading2"/>
      </w:pPr>
      <w:r>
        <w:t xml:space="preserve">Problem Statement</w:t>
      </w:r>
    </w:p>
    <w:p>
      <w:pPr>
        <w:pStyle w:val="FirstParagraph"/>
      </w:pPr>
      <w:r>
        <w:t xml:space="preserve">While Abu Dhabi boasts world-class educational facilities and internationally accredited schools, emerging challenges demand urgent attention. Current data from the Abu Dhabi Department of Education and Knowledge (ADEK) indicates that 68% of school improvement plans cite "leadership capacity gaps" as a primary barrier to achieving desired outcomes in student achievement, especially in STEM fields and critical thinking skills. The role of the Education Administrator—encompassing principals, deputy principals, curriculum directors, and district managers—is often misunderstood as purely administrative rather than strategic. This misalignment hinders their ability to implement Abu Dhabi's National Agenda for 2030 (which prioritizes education as a catalyst for national development) effectively. Without targeted research on their evolving responsibilities within the UAE context, the potential of Education Administrators remains underutilized, directly impacting the quality of education delivered across schools in Abu Dhabi.</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current competencies, challenges, and support systems for Education Administrators in public and private schools across Abu Dhabi.</w:t>
      </w:r>
    </w:p>
    <w:p>
      <w:pPr>
        <w:numPr>
          <w:ilvl w:val="0"/>
          <w:numId w:val="1001"/>
        </w:numPr>
        <w:pStyle w:val="Compact"/>
      </w:pPr>
      <w:r>
        <w:t xml:space="preserve">To identify context-specific leadership competencies required for Education Administrators to navigate the UAE’s unique educational ecosystem (including Emiratization goals, multicultural student bodies, and Ministry directives).</w:t>
      </w:r>
    </w:p>
    <w:p>
      <w:pPr>
        <w:numPr>
          <w:ilvl w:val="0"/>
          <w:numId w:val="1001"/>
        </w:numPr>
        <w:pStyle w:val="Compact"/>
      </w:pPr>
      <w:r>
        <w:t xml:space="preserve">To develop a culturally responsive professional development framework tailored for Education Administrators in the United Arab Emirates Abu Dhabi environment.</w:t>
      </w:r>
    </w:p>
    <w:p>
      <w:pPr>
        <w:numPr>
          <w:ilvl w:val="0"/>
          <w:numId w:val="1001"/>
        </w:numPr>
        <w:pStyle w:val="Compact"/>
      </w:pPr>
      <w:r>
        <w:t xml:space="preserve">To evaluate how enhanced administrative leadership directly correlates with improvements in student engagement, teacher retention, and alignment with Abu Dhabi's strategic educational goals.</w:t>
      </w:r>
    </w:p>
    <w:bookmarkEnd w:id="22"/>
    <w:bookmarkStart w:id="23" w:name="literature-review-brief"/>
    <w:p>
      <w:pPr>
        <w:pStyle w:val="Heading2"/>
      </w:pPr>
      <w:r>
        <w:t xml:space="preserve">Literature Review (Brief)</w:t>
      </w:r>
    </w:p>
    <w:p>
      <w:pPr>
        <w:pStyle w:val="FirstParagraph"/>
      </w:pPr>
      <w:r>
        <w:t xml:space="preserve">Existing literature on educational leadership predominantly draws from Western contexts (e.g., Leithwood &amp; Harris, 2019), often overlooking the nuances of Gulf states' education systems. While studies in Dubai (Al-Harthy, 2021) and Qatar (Al-Mahrooqi, 2020) highlight leadership challenges in diverse settings, there is a notable absence of UAE-specific research focused on Abu Dhabi's rapidly evolving landscape. The UAE’s unique emphasis on balancing global best practices with Emirati cultural values creates a distinct operational context. Furthermore, national policies like the "UAE Strategy for Education 2030" explicitly recognize leadership as a cornerstone but lack empirical grounding in Abu Dhabi’s implementation realities. This gap necessitates localized research to inform policy decisions and resource allocation specifically for Education Administrators.</w:t>
      </w:r>
    </w:p>
    <w:bookmarkEnd w:id="23"/>
    <w:bookmarkStart w:id="24" w:name="methodology"/>
    <w:p>
      <w:pPr>
        <w:pStyle w:val="Heading2"/>
      </w:pPr>
      <w:r>
        <w:t xml:space="preserve">Methodology</w:t>
      </w:r>
    </w:p>
    <w:p>
      <w:pPr>
        <w:pStyle w:val="FirstParagraph"/>
      </w:pPr>
      <w:r>
        <w:t xml:space="preserve">This mixed-methods study will employ a sequential explanatory design over 18 months, conducted within the United Arab Emirates Abu Dhabi jurisdiction:</w:t>
      </w:r>
    </w:p>
    <w:p>
      <w:pPr>
        <w:numPr>
          <w:ilvl w:val="0"/>
          <w:numId w:val="1002"/>
        </w:numPr>
        <w:pStyle w:val="Compact"/>
      </w:pPr>
      <w:r>
        <w:rPr>
          <w:bCs/>
          <w:b/>
        </w:rPr>
        <w:t xml:space="preserve">Phase 1 (Quantitative):</w:t>
      </w:r>
      <w:r>
        <w:t xml:space="preserve"> </w:t>
      </w:r>
      <w:r>
        <w:t xml:space="preserve">Online survey distributed to all certified Education Administrators (n=450) across ADEK-managed schools, measuring leadership practices, perceived support, and challenges using validated scales adapted from the Educational Leadership Constituent Council (ELCC) framework.</w:t>
      </w:r>
    </w:p>
    <w:p>
      <w:pPr>
        <w:numPr>
          <w:ilvl w:val="0"/>
          <w:numId w:val="1002"/>
        </w:numPr>
        <w:pStyle w:val="Compact"/>
      </w:pPr>
      <w:r>
        <w:rPr>
          <w:bCs/>
          <w:b/>
        </w:rPr>
        <w:t xml:space="preserve">Phase 2 (Qualitative):</w:t>
      </w:r>
      <w:r>
        <w:t xml:space="preserve"> </w:t>
      </w:r>
      <w:r>
        <w:t xml:space="preserve">In-depth interviews with 30 Education Administrators representing diverse school types (public, private international/curriculum-based), ADEK district supervisors, and Ministry of Education stakeholders. Focus groups will explore contextual barriers and success factors specific to Abu Dhabi.</w:t>
      </w:r>
    </w:p>
    <w:p>
      <w:pPr>
        <w:numPr>
          <w:ilvl w:val="0"/>
          <w:numId w:val="1002"/>
        </w:numPr>
        <w:pStyle w:val="Compact"/>
      </w:pPr>
      <w:r>
        <w:rPr>
          <w:bCs/>
          <w:b/>
        </w:rPr>
        <w:t xml:space="preserve">Data Analysis:</w:t>
      </w:r>
      <w:r>
        <w:t xml:space="preserve"> </w:t>
      </w:r>
      <w:r>
        <w:t xml:space="preserve">Thematic analysis for qualitative data; SPSS for quantitative data (regression analysis to correlate leadership practices with school performance metrics from ADEK databases).</w:t>
      </w:r>
    </w:p>
    <w:bookmarkEnd w:id="24"/>
    <w:bookmarkStart w:id="25" w:name="expected-outcomes-and-significance"/>
    <w:p>
      <w:pPr>
        <w:pStyle w:val="Heading2"/>
      </w:pPr>
      <w:r>
        <w:t xml:space="preserve">Expected Outcomes and Significance</w:t>
      </w:r>
    </w:p>
    <w:p>
      <w:pPr>
        <w:pStyle w:val="FirstParagraph"/>
      </w:pPr>
      <w:r>
        <w:t xml:space="preserve">This</w:t>
      </w:r>
      <w:r>
        <w:t xml:space="preserve"> </w:t>
      </w:r>
      <w:r>
        <w:rPr>
          <w:iCs/>
          <w:i/>
        </w:rPr>
        <w:t xml:space="preserve">Research Proposal</w:t>
      </w:r>
      <w:r>
        <w:t xml:space="preserve"> </w:t>
      </w:r>
      <w:r>
        <w:t xml:space="preserve">will yield a robust, evidence-based framework for developing Education Administrators in Abu Dhabi. Key deliverables include:</w:t>
      </w:r>
    </w:p>
    <w:p>
      <w:pPr>
        <w:numPr>
          <w:ilvl w:val="0"/>
          <w:numId w:val="1003"/>
        </w:numPr>
        <w:pStyle w:val="Compact"/>
      </w:pPr>
      <w:r>
        <w:t xml:space="preserve">A competency map detailing UAE-specific leadership requirements (e.g., cross-cultural conflict resolution, Emirati curriculum implementation, technology integration within national standards).</w:t>
      </w:r>
    </w:p>
    <w:p>
      <w:pPr>
        <w:numPr>
          <w:ilvl w:val="0"/>
          <w:numId w:val="1003"/>
        </w:numPr>
        <w:pStyle w:val="Compact"/>
      </w:pPr>
      <w:r>
        <w:t xml:space="preserve">A scalable professional development model incorporating blended learning (online modules + Abu Dhabi-based workshops) co-designed with ADEK and the Ministry of Education.</w:t>
      </w:r>
    </w:p>
    <w:p>
      <w:pPr>
        <w:numPr>
          <w:ilvl w:val="0"/>
          <w:numId w:val="1003"/>
        </w:numPr>
        <w:pStyle w:val="Compact"/>
      </w:pPr>
      <w:r>
        <w:t xml:space="preserve">Policy recommendations for embedding leadership support into Abu Dhabi's existing educational governance structures, directly aligning with Vision 2030 objectives.</w:t>
      </w:r>
    </w:p>
    <w:p>
      <w:pPr>
        <w:pStyle w:val="FirstParagraph"/>
      </w:pPr>
      <w:r>
        <w:t xml:space="preserve">The significance extends beyond Abu Dhabi. Findings will contribute to global discourse on educational leadership in culturally diverse, rapidly developing nations. By focusing on the Education Administrator—the critical bridge between policy and classroom practice—this research directly supports the United Arab Emirates Abu Dhabi’s mission to become a "global hub for knowledge-based education." Enhanced administrative capacity promises measurable outcomes: improved student performance in PISA and UAE national assessments, higher retention of qualified teachers, and accelerated progress toward educational equity across all communities in Abu Dhabi.</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Project Setup &amp; Ethics Approval</w:t>
            </w:r>
          </w:p>
        </w:tc>
        <w:tc>
          <w:tcPr/>
          <w:p>
            <w:pPr>
              <w:pStyle w:val="Compact"/>
              <w:jc w:val="left"/>
            </w:pPr>
            <w:r>
              <w:t xml:space="preserve">Month 1-2</w:t>
            </w:r>
          </w:p>
        </w:tc>
        <w:tc>
          <w:tcPr/>
          <w:p>
            <w:pPr>
              <w:pStyle w:val="Compact"/>
              <w:jc w:val="left"/>
            </w:pPr>
            <w:r>
              <w:t xml:space="preserve">Liaise with ADEK, secure permissions, finalize instruments.</w:t>
            </w:r>
          </w:p>
        </w:tc>
      </w:tr>
      <w:tr>
        <w:tc>
          <w:tcPr/>
          <w:p>
            <w:pPr>
              <w:pStyle w:val="Compact"/>
              <w:jc w:val="left"/>
            </w:pPr>
            <w:r>
              <w:t xml:space="preserve">Data Collection: Quantitative</w:t>
            </w:r>
          </w:p>
        </w:tc>
        <w:tc>
          <w:tcPr/>
          <w:p>
            <w:pPr>
              <w:pStyle w:val="Compact"/>
              <w:jc w:val="left"/>
            </w:pPr>
            <w:r>
              <w:t xml:space="preserve">Month 3-5</w:t>
            </w:r>
          </w:p>
        </w:tc>
        <w:tc>
          <w:tcPr/>
          <w:p>
            <w:pPr>
              <w:pStyle w:val="Compact"/>
              <w:jc w:val="left"/>
            </w:pPr>
            <w:r>
              <w:t xml:space="preserve">Distribute and analyze survey; identify key participants for Phase 2.</w:t>
            </w:r>
          </w:p>
        </w:tc>
      </w:tr>
      <w:tr>
        <w:tc>
          <w:tcPr/>
          <w:p>
            <w:pPr>
              <w:pStyle w:val="Compact"/>
              <w:jc w:val="left"/>
            </w:pPr>
            <w:r>
              <w:t xml:space="preserve">Data Collection: Qualitative</w:t>
            </w:r>
          </w:p>
        </w:tc>
        <w:tc>
          <w:tcPr/>
          <w:p>
            <w:pPr>
              <w:pStyle w:val="Compact"/>
              <w:jc w:val="left"/>
            </w:pPr>
            <w:r>
              <w:t xml:space="preserve">Month 6-10</w:t>
            </w:r>
            <w:r>
              <w:rPr>
                <w:bCs/>
                <w:b/>
              </w:rPr>
              <w:t xml:space="preserve">Note:</w:t>
            </w:r>
            <w:r>
              <w:t xml:space="preserve"> </w:t>
            </w:r>
            <w:r>
              <w:t xml:space="preserve">This timeline aligns with Abu Dhabi’s academic year to ensure minimal disruption. All research activities will strictly adhere to UAE data privacy regulations (Federal Decree-Law No. 45 of 2021) and ethical standards approved by the Zayed University Research Ethics Committee.</w:t>
            </w:r>
          </w:p>
        </w:tc>
        <w:tc>
          <w:tcPr/>
          <w:p>
            <w:pPr>
              <w:pStyle w:val="Compact"/>
            </w:pPr>
          </w:p>
        </w:tc>
      </w:tr>
      <w:tr>
        <w:tc>
          <w:tcPr/>
          <w:p>
            <w:pPr>
              <w:pStyle w:val="Compact"/>
              <w:jc w:val="left"/>
            </w:pPr>
            <w:r>
              <w:t xml:space="preserve">Data Analysis &amp; Framework Development</w:t>
            </w:r>
          </w:p>
        </w:tc>
        <w:tc>
          <w:tcPr/>
          <w:p>
            <w:pPr>
              <w:pStyle w:val="Compact"/>
              <w:jc w:val="left"/>
            </w:pPr>
            <w:r>
              <w:t xml:space="preserve">Month 11-14</w:t>
            </w:r>
          </w:p>
        </w:tc>
        <w:tc>
          <w:tcPr/>
          <w:p>
            <w:pPr>
              <w:pStyle w:val="Compact"/>
              <w:jc w:val="left"/>
            </w:pPr>
            <w:r>
              <w:t xml:space="preserve">Triangulate findings; draft professional development model.</w:t>
            </w:r>
          </w:p>
        </w:tc>
      </w:tr>
      <w:tr>
        <w:tc>
          <w:tcPr/>
          <w:p>
            <w:pPr>
              <w:pStyle w:val="Compact"/>
              <w:jc w:val="left"/>
            </w:pPr>
            <w:r>
              <w:t xml:space="preserve">Stakeholder Validation &amp; Final Report</w:t>
            </w:r>
          </w:p>
        </w:tc>
        <w:tc>
          <w:tcPr/>
          <w:p>
            <w:pPr>
              <w:pStyle w:val="Compact"/>
              <w:jc w:val="left"/>
            </w:pPr>
            <w:r>
              <w:t xml:space="preserve">Month 15-18</w:t>
            </w:r>
          </w:p>
        </w:tc>
        <w:tc>
          <w:tcPr/>
          <w:p>
            <w:pPr>
              <w:pStyle w:val="Compact"/>
              <w:jc w:val="left"/>
            </w:pPr>
            <w:r>
              <w:t xml:space="preserve">Present findings to ADEK, Ministry of Education, and school boards for feedback; finalize the Research Proposal deliverables.</w:t>
            </w:r>
          </w:p>
        </w:tc>
      </w:tr>
    </w:tbl>
    <w:bookmarkEnd w:id="26"/>
    <w:bookmarkStart w:id="27" w:name="conclusion"/>
    <w:p>
      <w:pPr>
        <w:pStyle w:val="Heading2"/>
      </w:pPr>
      <w:r>
        <w:t xml:space="preserve">Conclusion</w:t>
      </w:r>
    </w:p>
    <w:p>
      <w:pPr>
        <w:pStyle w:val="FirstParagraph"/>
      </w:pPr>
      <w:r>
        <w:t xml:space="preserve">The success of Abu Dhabi’s educational vision hinges on empowering Education Administrators as strategic leaders—not just managers. This</w:t>
      </w:r>
      <w:r>
        <w:t xml:space="preserve"> </w:t>
      </w:r>
      <w:r>
        <w:rPr>
          <w:iCs/>
          <w:i/>
        </w:rPr>
        <w:t xml:space="preserve">Research Proposal</w:t>
      </w:r>
      <w:r>
        <w:t xml:space="preserve"> </w:t>
      </w:r>
      <w:r>
        <w:t xml:space="preserve">offers a targeted, actionable pathway to transform the role within the United Arab Emirates Abu Dhabi context. By grounding leadership development in empirical evidence specific to our region, we can move beyond generic frameworks and build a system where every Education Administrator is equipped to unlock excellence for every student. The outcomes will directly inform ADEK’s leadership strategy, ensuring that Abu Dhabi remains at the forefront of educational innovation while staying deeply rooted in its cultural identity. Investing in this research is not merely an academic exercise; it is an essential investment in the future of education and nation-building for the United Arab Emirates.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Leadership in Abu Dhabi</dc:title>
  <dc:creator/>
  <dc:language>en</dc:language>
  <cp:keywords/>
  <dcterms:created xsi:type="dcterms:W3CDTF">2026-07-21T03:28:46Z</dcterms:created>
  <dcterms:modified xsi:type="dcterms:W3CDTF">2026-07-21T03:28:46Z</dcterms:modified>
</cp:coreProperties>
</file>

<file path=docProps/custom.xml><?xml version="1.0" encoding="utf-8"?>
<Properties xmlns="http://schemas.openxmlformats.org/officeDocument/2006/custom-properties" xmlns:vt="http://schemas.openxmlformats.org/officeDocument/2006/docPropsVTypes"/>
</file>