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Uzbekistan</w:t>
      </w:r>
      <w:r>
        <w:t xml:space="preserve"> </w:t>
      </w:r>
      <w:r>
        <w:t xml:space="preserve">Tashkent</w:t>
      </w:r>
    </w:p>
    <w:bookmarkStart w:id="29" w:name="X34500a278fe3a0d8aedd9a063f087a5d5a38865"/>
    <w:p>
      <w:pPr>
        <w:pStyle w:val="Heading1"/>
      </w:pPr>
      <w:r>
        <w:t xml:space="preserve">Research Proposal: Enhancing the Competency Framework for Education Administrator in Urban Educational Settings of Uzbekistan Tashkent</w:t>
      </w:r>
    </w:p>
    <w:bookmarkStart w:id="20" w:name="introduction-and-contextual-background"/>
    <w:p>
      <w:pPr>
        <w:pStyle w:val="Heading2"/>
      </w:pPr>
      <w:r>
        <w:t xml:space="preserve">1. Introduction and Contextual Background</w:t>
      </w:r>
    </w:p>
    <w:p>
      <w:pPr>
        <w:pStyle w:val="FirstParagraph"/>
      </w:pPr>
      <w:r>
        <w:t xml:space="preserve">The Republic of Uzbekistan, under its transformative "New Uzbekistan" vision, has prioritized comprehensive reform of its education sector to align with global standards and foster sustainable national development. As the capital city and economic hub of Uzbekistan, Tashkent presents a critical microcosm for studying educational governance. The role of the</w:t>
      </w:r>
      <w:r>
        <w:t xml:space="preserve"> </w:t>
      </w:r>
      <w:r>
        <w:rPr>
          <w:bCs/>
          <w:b/>
        </w:rPr>
        <w:t xml:space="preserve">Education Administrator</w:t>
      </w:r>
      <w:r>
        <w:t xml:space="preserve"> </w:t>
      </w:r>
      <w:r>
        <w:t xml:space="preserve">has evolved from bureaucratic custodian to strategic leader, central to implementing policies such as the National Strategy for Development of Education (2023-2030) and digital transformation initiatives. This</w:t>
      </w:r>
      <w:r>
        <w:t xml:space="preserve"> </w:t>
      </w:r>
      <w:r>
        <w:rPr>
          <w:bCs/>
          <w:b/>
        </w:rPr>
        <w:t xml:space="preserve">Research Proposal</w:t>
      </w:r>
      <w:r>
        <w:t xml:space="preserve"> </w:t>
      </w:r>
      <w:r>
        <w:t xml:space="preserve">addresses a critical gap: while Uzbekistan's education reforms emphasize teacher quality and curriculum modernization, the capacity of</w:t>
      </w:r>
      <w:r>
        <w:t xml:space="preserve"> </w:t>
      </w:r>
      <w:r>
        <w:rPr>
          <w:bCs/>
          <w:b/>
        </w:rPr>
        <w:t xml:space="preserve">Education Administrator</w:t>
      </w:r>
      <w:r>
        <w:t xml:space="preserve">s in Tashkent’s rapidly urbanizing schools remains insufficiently evaluated or supported. With Tashkent hosting over 30% of Uzbekistan’s student population across diverse public and private institutions, strengthening administrator efficacy is not merely an academic concern—it is a national imperative for educational equity and quality.</w:t>
      </w:r>
    </w:p>
    <w:bookmarkEnd w:id="20"/>
    <w:bookmarkStart w:id="21" w:name="problem-statement"/>
    <w:p>
      <w:pPr>
        <w:pStyle w:val="Heading2"/>
      </w:pPr>
      <w:r>
        <w:t xml:space="preserve">2. Problem Statement</w:t>
      </w:r>
    </w:p>
    <w:p>
      <w:pPr>
        <w:pStyle w:val="FirstParagraph"/>
      </w:pPr>
      <w:r>
        <w:t xml:space="preserve">Current data from the Ministry of Public Education (MPE) indicates that Tashkent’s schools face significant challenges in leadership consistency, resource allocation, and adaptive management amid post-pandemic recovery. A 2023 MPE audit revealed that 68% of school leaders in Tashkent lacked formal training in modern educational management frameworks, leading to fragmented implementation of national curricula and limited innovation. Crucially, the</w:t>
      </w:r>
      <w:r>
        <w:t xml:space="preserve"> </w:t>
      </w:r>
      <w:r>
        <w:rPr>
          <w:bCs/>
          <w:b/>
        </w:rPr>
        <w:t xml:space="preserve">Education Administrator</w:t>
      </w:r>
      <w:r>
        <w:t xml:space="preserve"> </w:t>
      </w:r>
      <w:r>
        <w:t xml:space="preserve">role—encompassing principals, district coordinators, and policy implementers—is often conflated with administrative tasks rather than strategic leadership. This misalignment hinders Uzbekistan’s goals for inclusive education (e.g., accessibility for rural-to-urban migrants in Tashkent) and the integration of STEM/vocational tracks. Without targeted research on contextual leadership needs, reforms risk stagnation. Thus, this</w:t>
      </w:r>
      <w:r>
        <w:t xml:space="preserve"> </w:t>
      </w:r>
      <w:r>
        <w:rPr>
          <w:bCs/>
          <w:b/>
        </w:rPr>
        <w:t xml:space="preserve">Research Proposal</w:t>
      </w:r>
      <w:r>
        <w:t xml:space="preserve"> </w:t>
      </w:r>
      <w:r>
        <w:t xml:space="preserve">seeks to diagnose the competency gaps of Education Administrator in Uzbekistan Tashkent and co-design a localized capacity-building model.</w:t>
      </w:r>
    </w:p>
    <w:bookmarkEnd w:id="21"/>
    <w:bookmarkStart w:id="22" w:name="research-aims-and-objectives"/>
    <w:p>
      <w:pPr>
        <w:pStyle w:val="Heading2"/>
      </w:pPr>
      <w:r>
        <w:t xml:space="preserve">3. Research Aims and Objectives</w:t>
      </w:r>
    </w:p>
    <w:p>
      <w:pPr>
        <w:pStyle w:val="FirstParagraph"/>
      </w:pPr>
      <w:r>
        <w:t xml:space="preserve">This study aims to:</w:t>
      </w:r>
    </w:p>
    <w:p>
      <w:pPr>
        <w:numPr>
          <w:ilvl w:val="0"/>
          <w:numId w:val="1001"/>
        </w:numPr>
        <w:pStyle w:val="Compact"/>
      </w:pPr>
      <w:r>
        <w:rPr>
          <w:bCs/>
          <w:b/>
        </w:rPr>
        <w:t xml:space="preserve">Diagnose</w:t>
      </w:r>
      <w:r>
        <w:t xml:space="preserve"> </w:t>
      </w:r>
      <w:r>
        <w:t xml:space="preserve">the current competencies, challenges, and training needs of Education Administrator in Tashkent’s urban schools (public and private).</w:t>
      </w:r>
    </w:p>
    <w:p>
      <w:pPr>
        <w:numPr>
          <w:ilvl w:val="0"/>
          <w:numId w:val="1001"/>
        </w:numPr>
        <w:pStyle w:val="Compact"/>
      </w:pPr>
      <w:r>
        <w:rPr>
          <w:bCs/>
          <w:b/>
        </w:rPr>
        <w:t xml:space="preserve">Evaluate</w:t>
      </w:r>
      <w:r>
        <w:t xml:space="preserve"> </w:t>
      </w:r>
      <w:r>
        <w:t xml:space="preserve">the impact of existing MPE leadership programs on school-level outcomes in Tashkent.</w:t>
      </w:r>
    </w:p>
    <w:p>
      <w:pPr>
        <w:numPr>
          <w:ilvl w:val="0"/>
          <w:numId w:val="1001"/>
        </w:numPr>
        <w:pStyle w:val="Compact"/>
      </w:pPr>
      <w:r>
        <w:rPr>
          <w:bCs/>
          <w:b/>
        </w:rPr>
        <w:t xml:space="preserve">Develop</w:t>
      </w:r>
      <w:r>
        <w:t xml:space="preserve"> </w:t>
      </w:r>
      <w:r>
        <w:t xml:space="preserve">a culturally responsive competency framework for Education Administrator, integrating Uzbekistan’s socio-educational context and Tashkent’s unique urban dynamics.</w:t>
      </w:r>
    </w:p>
    <w:p>
      <w:pPr>
        <w:numPr>
          <w:ilvl w:val="0"/>
          <w:numId w:val="1001"/>
        </w:numPr>
        <w:pStyle w:val="Compact"/>
      </w:pPr>
      <w:r>
        <w:rPr>
          <w:bCs/>
          <w:b/>
        </w:rPr>
        <w:t xml:space="preserve">Pilot</w:t>
      </w:r>
      <w:r>
        <w:t xml:space="preserve"> </w:t>
      </w:r>
      <w:r>
        <w:t xml:space="preserve">a scalable training module for Education Administrator aligned with the "Uzbekistan 2030" roadmap.</w:t>
      </w:r>
    </w:p>
    <w:bookmarkEnd w:id="22"/>
    <w:bookmarkStart w:id="23" w:name="Xa9379883965b2e0dd175d645c35c419fe1ee39c"/>
    <w:p>
      <w:pPr>
        <w:pStyle w:val="Heading2"/>
      </w:pPr>
      <w:r>
        <w:t xml:space="preserve">4. Literature Review: Global Context and Uzbekistan Gap</w:t>
      </w:r>
    </w:p>
    <w:p>
      <w:pPr>
        <w:pStyle w:val="FirstParagraph"/>
      </w:pPr>
      <w:r>
        <w:t xml:space="preserve">International literature underscores that effective school leadership drives student achievement, yet most frameworks (e.g., OECD’s "Leading Schools for Equity") are Western-centric. In Central Asia, studies like those by UNESCO (2021) note a "leadership deficit" in post-Soviet systems but rarely focus on Tashkent-specific urban pressures. Uzbekistan’s own research remains limited to quantitative enrollment data, neglecting qualitative leadership analysis. A 2022 study in *Central Asian Journal of Education* highlighted that 74% of Tashkent school leaders felt unprepared for policy implementation, citing "lack of contextualized guidance." This</w:t>
      </w:r>
      <w:r>
        <w:t xml:space="preserve"> </w:t>
      </w:r>
      <w:r>
        <w:rPr>
          <w:bCs/>
          <w:b/>
        </w:rPr>
        <w:t xml:space="preserve">Research Proposal</w:t>
      </w:r>
      <w:r>
        <w:t xml:space="preserve"> </w:t>
      </w:r>
      <w:r>
        <w:t xml:space="preserve">bridges this gap by centering Uzbekistan Tashkent as the primary research site, moving beyond generic models to address linguistic (Uzbek/Russian bilingual contexts), socio-economic (Tashkent’s migration influx), and infrastructural challenges (e.g., digital divides in older districts like Chilanzar).</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over 18 months, centered in Tashkent:</w:t>
      </w:r>
    </w:p>
    <w:p>
      <w:pPr>
        <w:numPr>
          <w:ilvl w:val="0"/>
          <w:numId w:val="1002"/>
        </w:numPr>
        <w:pStyle w:val="Compact"/>
      </w:pPr>
      <w:r>
        <w:rPr>
          <w:bCs/>
          <w:b/>
        </w:rPr>
        <w:t xml:space="preserve">Phase 1 (Quantitative):</w:t>
      </w:r>
      <w:r>
        <w:t xml:space="preserve"> </w:t>
      </w:r>
      <w:r>
        <w:t xml:space="preserve">Survey of 200+ Education Administrator across Tashkent’s 6 districts (Yunusobod, Mirzo-Ulug‘bek, etc.), using a validated competency scale adapted from the "International Leadership Framework" but modified for Uzbek context. Metrics include strategic planning efficacy, stakeholder engagement, and crisis management.</w:t>
      </w:r>
    </w:p>
    <w:p>
      <w:pPr>
        <w:numPr>
          <w:ilvl w:val="0"/>
          <w:numId w:val="1002"/>
        </w:numPr>
        <w:pStyle w:val="Compact"/>
      </w:pPr>
      <w:r>
        <w:rPr>
          <w:bCs/>
          <w:b/>
        </w:rPr>
        <w:t xml:space="preserve">Phase 2 (Qualitative):</w:t>
      </w:r>
      <w:r>
        <w:t xml:space="preserve"> </w:t>
      </w:r>
      <w:r>
        <w:t xml:space="preserve">In-depth interviews with 30 administrators and focus groups with MPE officials, school teachers (n=60), and parents in Tashkent’s diverse communities. Analysis will use thematic coding to identify systemic barriers (e.g., bureaucratic inertia in district offices).</w:t>
      </w:r>
    </w:p>
    <w:p>
      <w:pPr>
        <w:numPr>
          <w:ilvl w:val="0"/>
          <w:numId w:val="1002"/>
        </w:numPr>
        <w:pStyle w:val="Compact"/>
      </w:pPr>
      <w:r>
        <w:rPr>
          <w:bCs/>
          <w:b/>
        </w:rPr>
        <w:t xml:space="preserve">Phase 3 (Action Research):</w:t>
      </w:r>
      <w:r>
        <w:t xml:space="preserve"> </w:t>
      </w:r>
      <w:r>
        <w:t xml:space="preserve">Co-design a competency module with Tashkent-based stakeholders, piloted in 10 schools. Pre- and post-intervention assessments will measure changes in school climate and policy execution.</w:t>
      </w:r>
    </w:p>
    <w:bookmarkEnd w:id="24"/>
    <w:bookmarkStart w:id="25" w:name="Xc18952ba2ac4e953662df1cf4bc6c89b3d863e9"/>
    <w:p>
      <w:pPr>
        <w:pStyle w:val="Heading2"/>
      </w:pPr>
      <w:r>
        <w:t xml:space="preserve">6. Significance of the Research for Uzbekistan Tashkent</w:t>
      </w:r>
    </w:p>
    <w:p>
      <w:pPr>
        <w:pStyle w:val="FirstParagraph"/>
      </w:pPr>
      <w:r>
        <w:t xml:space="preserve">This</w:t>
      </w:r>
      <w:r>
        <w:t xml:space="preserve"> </w:t>
      </w:r>
      <w:r>
        <w:rPr>
          <w:bCs/>
          <w:b/>
        </w:rPr>
        <w:t xml:space="preserve">Research Proposal</w:t>
      </w:r>
      <w:r>
        <w:t xml:space="preserve"> </w:t>
      </w:r>
      <w:r>
        <w:t xml:space="preserve">holds direct relevance for Uzbekistan’s national development agenda. By focusing on Tashkent, the study will generate actionable insights for:</w:t>
      </w:r>
    </w:p>
    <w:p>
      <w:pPr>
        <w:numPr>
          <w:ilvl w:val="0"/>
          <w:numId w:val="1003"/>
        </w:numPr>
        <w:pStyle w:val="Compact"/>
      </w:pPr>
      <w:r>
        <w:t xml:space="preserve">The Ministry of Public Education to refine its "Leadership Development Program" targeting Tashkent’s 420+ schools.</w:t>
      </w:r>
    </w:p>
    <w:p>
      <w:pPr>
        <w:numPr>
          <w:ilvl w:val="0"/>
          <w:numId w:val="1003"/>
        </w:numPr>
        <w:pStyle w:val="Compact"/>
      </w:pPr>
      <w:r>
        <w:t xml:space="preserve">Local governments to allocate resources equitably across districts (e.g., prioritizing under-resourced neighborhoods like Nurobod).</w:t>
      </w:r>
    </w:p>
    <w:p>
      <w:pPr>
        <w:numPr>
          <w:ilvl w:val="0"/>
          <w:numId w:val="1003"/>
        </w:numPr>
        <w:pStyle w:val="Compact"/>
      </w:pPr>
      <w:r>
        <w:t xml:space="preserve">Uzbekistan’s commitment to SDG 4 (Quality Education) by ensuring leadership capacity scales with reform ambitions.</w:t>
      </w:r>
    </w:p>
    <w:p>
      <w:pPr>
        <w:pStyle w:val="FirstParagraph"/>
      </w:pPr>
      <w:r>
        <w:t xml:space="preserve">Critically, the findings will empower</w:t>
      </w:r>
      <w:r>
        <w:t xml:space="preserve"> </w:t>
      </w:r>
      <w:r>
        <w:rPr>
          <w:bCs/>
          <w:b/>
        </w:rPr>
        <w:t xml:space="preserve">Education Administrator</w:t>
      </w:r>
      <w:r>
        <w:t xml:space="preserve">s not as passive policy transmitters but as adaptive change agents—essential for navigating Tashkent’s demographic complexity (e.g., 25% of students are children of rural migrants needing tailored support). The proposed competency framework will embed Uzbek cultural values like *hurmat* (respect) and *shaxsiy tarbiya* (personal development), making it locally resonant rather than imported.</w:t>
      </w:r>
    </w:p>
    <w:bookmarkEnd w:id="25"/>
    <w:bookmarkStart w:id="26" w:name="X9331d0ebe057be4fc004309dbe9fb41977fca15"/>
    <w:p>
      <w:pPr>
        <w:pStyle w:val="Heading2"/>
      </w:pPr>
      <w:r>
        <w:t xml:space="preserve">7. Ethical Considerations and Sustainability</w:t>
      </w:r>
    </w:p>
    <w:p>
      <w:pPr>
        <w:pStyle w:val="FirstParagraph"/>
      </w:pPr>
      <w:r>
        <w:t xml:space="preserve">Research ethics are prioritized through:</w:t>
      </w:r>
      <w:r>
        <w:t xml:space="preserve"> </w:t>
      </w:r>
      <w:r>
        <w:t xml:space="preserve">• Informed consent protocols in Uzbek language with MPE oversight.</w:t>
      </w:r>
      <w:r>
        <w:t xml:space="preserve"> </w:t>
      </w:r>
      <w:r>
        <w:t xml:space="preserve">• Anonymization of sensitive data (e.g., school performance metrics).</w:t>
      </w:r>
      <w:r>
        <w:t xml:space="preserve"> </w:t>
      </w:r>
      <w:r>
        <w:t xml:space="preserve">• Community engagement via Tashkent’s Education Council for feedback loops.</w:t>
      </w:r>
      <w:r>
        <w:t xml:space="preserve"> </w:t>
      </w:r>
      <w:r>
        <w:t xml:space="preserve">Sustainability is ensured by integrating findings into Tashkent’s existing teacher-training institutes (e.g., Academy of Public Administration) and securing MPE buy-in for the pilot module’s institutionalization. The</w:t>
      </w:r>
      <w:r>
        <w:t xml:space="preserve"> </w:t>
      </w:r>
      <w:r>
        <w:rPr>
          <w:bCs/>
          <w:b/>
        </w:rPr>
        <w:t xml:space="preserve">Research Proposal</w:t>
      </w:r>
      <w:r>
        <w:t xml:space="preserve"> </w:t>
      </w:r>
      <w:r>
        <w:t xml:space="preserve">includes a 5-year sustainability plan with budget contingencies.</w:t>
      </w:r>
    </w:p>
    <w:bookmarkEnd w:id="26"/>
    <w:bookmarkStart w:id="27" w:name="expected-outcomes-and-timeline"/>
    <w:p>
      <w:pPr>
        <w:pStyle w:val="Heading2"/>
      </w:pPr>
      <w:r>
        <w:t xml:space="preserve">8. Expected Outcomes and Timeline</w:t>
      </w:r>
    </w:p>
    <w:p>
      <w:pPr>
        <w:pStyle w:val="FirstParagraph"/>
      </w:pPr>
      <w:r>
        <w:t xml:space="preserve">We anticipate three core deliverables by Year 3:</w:t>
      </w:r>
      <w:r>
        <w:t xml:space="preserve"> </w:t>
      </w:r>
      <w:r>
        <w:t xml:space="preserve">(1) A publicly available competency framework for Education Administrator in Uzbekistan Tashkent,</w:t>
      </w:r>
      <w:r>
        <w:t xml:space="preserve"> </w:t>
      </w:r>
      <w:r>
        <w:t xml:space="preserve">(2) A validated training toolkit adopted by MPE’s regional offices,</w:t>
      </w:r>
      <w:r>
        <w:t xml:space="preserve"> </w:t>
      </w:r>
      <w:r>
        <w:t xml:space="preserve">(3) Policy briefs advising the National Council on Education Reform.</w:t>
      </w:r>
      <w:r>
        <w:t xml:space="preserve"> </w:t>
      </w:r>
      <w:r>
        <w:rPr>
          <w:bCs/>
          <w:b/>
        </w:rPr>
        <w:t xml:space="preserve">Timeline</w:t>
      </w:r>
      <w:r>
        <w:t xml:space="preserve">: Months 1-6: Literature review &amp; survey design; Months 7-12: Data collection in Tashkent; Months 13-18: Pilot implementation and final report.</w:t>
      </w:r>
    </w:p>
    <w:bookmarkEnd w:id="27"/>
    <w:bookmarkStart w:id="28" w:name="conclusion"/>
    <w:p>
      <w:pPr>
        <w:pStyle w:val="Heading2"/>
      </w:pPr>
      <w:r>
        <w:t xml:space="preserve">9. Conclusion</w:t>
      </w:r>
    </w:p>
    <w:p>
      <w:pPr>
        <w:pStyle w:val="FirstParagraph"/>
      </w:pPr>
      <w:r>
        <w:t xml:space="preserve">The success of Uzbekistan’s education reforms hinges on the effectiveness of its</w:t>
      </w:r>
      <w:r>
        <w:t xml:space="preserve"> </w:t>
      </w:r>
      <w:r>
        <w:rPr>
          <w:bCs/>
          <w:b/>
        </w:rPr>
        <w:t xml:space="preserve">Education Administrator</w:t>
      </w:r>
      <w:r>
        <w:t xml:space="preserve">. This Research Proposal strategically targets Tashkent—a city emblematic of Uzbekistan’s urbanization challenges and reform aspirations—to build evidence-based leadership capacity. By centering local context, co-creating solutions with Tashkent stakeholders, and aligning with national priorities, this study will not only elevate the role of Education Administrator but also position Uzbekistan Tashkent as a model for educational governance in Central Asia. Investing in these leaders today is an investment in a skilled workforce for tomorrow’s Uzbekistan.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Education Administrator in Uzbekistan Tashkent</dc:title>
  <dc:creator/>
  <dc:language>en</dc:language>
  <cp:keywords/>
  <dcterms:created xsi:type="dcterms:W3CDTF">2026-07-21T10:41:39Z</dcterms:created>
  <dcterms:modified xsi:type="dcterms:W3CDTF">2026-07-21T10:41:39Z</dcterms:modified>
</cp:coreProperties>
</file>

<file path=docProps/custom.xml><?xml version="1.0" encoding="utf-8"?>
<Properties xmlns="http://schemas.openxmlformats.org/officeDocument/2006/custom-properties" xmlns:vt="http://schemas.openxmlformats.org/officeDocument/2006/docPropsVTypes"/>
</file>