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7702f4770c1c75e7adedfa67d58731a997b5a73"/>
    <w:p>
      <w:pPr>
        <w:pStyle w:val="Heading1"/>
      </w:pPr>
      <w:r>
        <w:t xml:space="preserve">Research Proposal on Smart Grid Integration for Sustainable Energy Systems in Riyadh, Saudi Arabia</w:t>
      </w:r>
    </w:p>
    <w:bookmarkStart w:id="20" w:name="introduction"/>
    <w:p>
      <w:pPr>
        <w:pStyle w:val="Heading2"/>
      </w:pPr>
      <w:r>
        <w:t xml:space="preserve">1. Introduction</w:t>
      </w:r>
    </w:p>
    <w:p>
      <w:pPr>
        <w:pStyle w:val="FirstParagraph"/>
      </w:pPr>
      <w:r>
        <w:t xml:space="preserve">This Research Proposal outlines a critical initiative for advancing sustainable energy infrastructure in the Kingdom of Saudi Arabia, with specific focus on Riyadh as the national capital and economic hub. As part of Saudi Vision 2030's ambitious renewable energy targets, integrating smart grid technology has become paramount to address escalating power demands while reducing carbon emissions. The proposed research directly addresses the urgent need for a qualified</w:t>
      </w:r>
      <w:r>
        <w:t xml:space="preserve"> </w:t>
      </w:r>
      <w:r>
        <w:rPr>
          <w:bCs/>
          <w:b/>
        </w:rPr>
        <w:t xml:space="preserve">Electrical Engineer</w:t>
      </w:r>
      <w:r>
        <w:t xml:space="preserve"> </w:t>
      </w:r>
      <w:r>
        <w:t xml:space="preserve">to lead the development of a next-generation grid management system tailored for Riyadh's unique urban and climatic conditions. With Saudi Arabia committed to generating 50% of its energy from renewables by 2030, this project positions Riyadh as a pioneer in Middle Eastern energy transformation.</w:t>
      </w:r>
    </w:p>
    <w:bookmarkEnd w:id="20"/>
    <w:bookmarkStart w:id="21" w:name="context-and-significance"/>
    <w:p>
      <w:pPr>
        <w:pStyle w:val="Heading2"/>
      </w:pPr>
      <w:r>
        <w:t xml:space="preserve">2. Context and Significance</w:t>
      </w:r>
    </w:p>
    <w:p>
      <w:pPr>
        <w:pStyle w:val="FirstParagraph"/>
      </w:pPr>
      <w:r>
        <w:t xml:space="preserve">Riyadh's rapid urbanization and industrial growth have strained existing electrical infrastructure, resulting in 15-20% energy losses during transmission—significantly higher than global standards. The current grid lacks the intelligence to manage distributed renewable sources (particularly solar, given Riyadh's 3,600 annual sunshine hours) or respond dynamically to demand spikes. A skilled</w:t>
      </w:r>
      <w:r>
        <w:t xml:space="preserve"> </w:t>
      </w:r>
      <w:r>
        <w:rPr>
          <w:bCs/>
          <w:b/>
        </w:rPr>
        <w:t xml:space="preserve">Electrical Engineer</w:t>
      </w:r>
      <w:r>
        <w:t xml:space="preserve"> </w:t>
      </w:r>
      <w:r>
        <w:t xml:space="preserve">with expertise in smart grid systems is essential to design a resilient framework that aligns with Saudi Arabia's national energy strategy. This Research Proposal demonstrates how targeted technical intervention in Riyadh can yield scalable solutions for the entire Kingdom, supporting economic diversification while meeting environmental commitments under the Saudi Green Initiative.</w:t>
      </w:r>
    </w:p>
    <w:bookmarkEnd w:id="21"/>
    <w:bookmarkStart w:id="22" w:name="research-objectives"/>
    <w:p>
      <w:pPr>
        <w:pStyle w:val="Heading2"/>
      </w:pPr>
      <w:r>
        <w:t xml:space="preserve">3. Research Objectives</w:t>
      </w:r>
    </w:p>
    <w:p>
      <w:pPr>
        <w:numPr>
          <w:ilvl w:val="0"/>
          <w:numId w:val="1001"/>
        </w:numPr>
        <w:pStyle w:val="Compact"/>
      </w:pPr>
      <w:r>
        <w:t xml:space="preserve">To design and simulate a hybrid smart grid model integrating 50% renewable energy (solar-dominated) with Riyadh's existing infrastructure, minimizing transmission losses.</w:t>
      </w:r>
    </w:p>
    <w:p>
      <w:pPr>
        <w:numPr>
          <w:ilvl w:val="0"/>
          <w:numId w:val="1001"/>
        </w:numPr>
        <w:pStyle w:val="Compact"/>
      </w:pPr>
      <w:r>
        <w:t xml:space="preserve">To develop AI-driven demand-response algorithms optimized for Riyadh's extreme climate patterns (summer temperatures exceeding 45°C) and urban population density (7.8 million residents).</w:t>
      </w:r>
    </w:p>
    <w:p>
      <w:pPr>
        <w:numPr>
          <w:ilvl w:val="0"/>
          <w:numId w:val="1001"/>
        </w:numPr>
        <w:pStyle w:val="Compact"/>
      </w:pPr>
      <w:r>
        <w:t xml:space="preserve">To establish a cybersecurity framework protecting grid operations from emerging digital threats, a critical concern for Saudi Arabia's national infrastructure security.</w:t>
      </w:r>
    </w:p>
    <w:p>
      <w:pPr>
        <w:numPr>
          <w:ilvl w:val="0"/>
          <w:numId w:val="1001"/>
        </w:numPr>
        <w:pStyle w:val="Compact"/>
      </w:pPr>
      <w:r>
        <w:t xml:space="preserve">To create an implementation roadmap for Riyadh Municipality, enabling the transition to a self-healing grid capable of handling 30% higher peak loads by 2030.</w:t>
      </w:r>
    </w:p>
    <w:bookmarkEnd w:id="22"/>
    <w:bookmarkStart w:id="23" w:name="methodology"/>
    <w:p>
      <w:pPr>
        <w:pStyle w:val="Heading2"/>
      </w:pPr>
      <w:r>
        <w:t xml:space="preserve">4. Methodology</w:t>
      </w:r>
    </w:p>
    <w:p>
      <w:pPr>
        <w:pStyle w:val="FirstParagraph"/>
      </w:pPr>
      <w:r>
        <w:t xml:space="preserve">This research employs a multidisciplinary approach combining computational modeling, field testing in Riyadh's Al-Malaz district (a high-density urban zone), and collaboration with key stakeholders:</w:t>
      </w:r>
    </w:p>
    <w:p>
      <w:pPr>
        <w:numPr>
          <w:ilvl w:val="0"/>
          <w:numId w:val="1002"/>
        </w:numPr>
        <w:pStyle w:val="Compact"/>
      </w:pPr>
      <w:r>
        <w:rPr>
          <w:bCs/>
          <w:b/>
        </w:rPr>
        <w:t xml:space="preserve">Phase 1 (Months 1-6):</w:t>
      </w:r>
      <w:r>
        <w:t xml:space="preserve"> </w:t>
      </w:r>
      <w:r>
        <w:t xml:space="preserve">Comprehensive energy audit of Riyadh's grid using IoT sensors across 50+ substations, identifying failure hotspots and load patterns.</w:t>
      </w:r>
    </w:p>
    <w:p>
      <w:pPr>
        <w:numPr>
          <w:ilvl w:val="0"/>
          <w:numId w:val="1002"/>
        </w:numPr>
        <w:pStyle w:val="Compact"/>
      </w:pPr>
      <w:r>
        <w:rPr>
          <w:bCs/>
          <w:b/>
        </w:rPr>
        <w:t xml:space="preserve">Phase 2 (Months 7-12):</w:t>
      </w:r>
      <w:r>
        <w:t xml:space="preserve"> </w:t>
      </w:r>
      <w:r>
        <w:t xml:space="preserve">Development of a digital twin simulation (using Siemens PSS®E software) to model renewable integration under Riyadh-specific scenarios—accounting for dust accumulation on solar panels and thermal stress on equipment.</w:t>
      </w:r>
    </w:p>
    <w:p>
      <w:pPr>
        <w:numPr>
          <w:ilvl w:val="0"/>
          <w:numId w:val="1002"/>
        </w:numPr>
        <w:pStyle w:val="Compact"/>
      </w:pPr>
      <w:r>
        <w:rPr>
          <w:bCs/>
          <w:b/>
        </w:rPr>
        <w:t xml:space="preserve">Phase 3 (Months 13-18):</w:t>
      </w:r>
      <w:r>
        <w:t xml:space="preserve"> </w:t>
      </w:r>
      <w:r>
        <w:t xml:space="preserve">Pilot implementation of AI-driven grid controllers at two Riyadh distribution centers, with real-time data from Saudi Electricity Company's SCADA systems.</w:t>
      </w:r>
    </w:p>
    <w:p>
      <w:pPr>
        <w:numPr>
          <w:ilvl w:val="0"/>
          <w:numId w:val="1002"/>
        </w:numPr>
        <w:pStyle w:val="Compact"/>
      </w:pPr>
      <w:r>
        <w:rPr>
          <w:bCs/>
          <w:b/>
        </w:rPr>
        <w:t xml:space="preserve">Phase 4 (Months 19-24):</w:t>
      </w:r>
      <w:r>
        <w:t xml:space="preserve"> </w:t>
      </w:r>
      <w:r>
        <w:t xml:space="preserve">Validation through comparative analysis with conventional grids, measuring reductions in outages, energy waste, and carbon footprint.</w:t>
      </w:r>
    </w:p>
    <w:p>
      <w:pPr>
        <w:pStyle w:val="FirstParagraph"/>
      </w:pPr>
      <w:r>
        <w:t xml:space="preserve">The role of the lead</w:t>
      </w:r>
      <w:r>
        <w:t xml:space="preserve"> </w:t>
      </w:r>
      <w:r>
        <w:rPr>
          <w:bCs/>
          <w:b/>
        </w:rPr>
        <w:t xml:space="preserve">Electrical Engineer</w:t>
      </w:r>
      <w:r>
        <w:t xml:space="preserve"> </w:t>
      </w:r>
      <w:r>
        <w:t xml:space="preserve">is central to all phases, requiring expertise in power systems engineering (IEEE 1547 standards), renewable integration protocols, and data analytics. Collaboration with King Abdullah University of Science and Technology (KAUST) in Thuwal—within 40km of Riyadh—and the Saudi Electricity Company ensures alignment with national technical capabilities.</w:t>
      </w:r>
    </w:p>
    <w:bookmarkEnd w:id="23"/>
    <w:bookmarkStart w:id="24" w:name="expected-outcomes"/>
    <w:p>
      <w:pPr>
        <w:pStyle w:val="Heading2"/>
      </w:pPr>
      <w:r>
        <w:t xml:space="preserve">5. Expected Outcomes</w:t>
      </w:r>
    </w:p>
    <w:p>
      <w:pPr>
        <w:pStyle w:val="FirstParagraph"/>
      </w:pPr>
      <w:r>
        <w:t xml:space="preserve">This Research Proposal anticipates transformative outcomes for</w:t>
      </w:r>
      <w:r>
        <w:t xml:space="preserve"> </w:t>
      </w:r>
      <w:r>
        <w:rPr>
          <w:bCs/>
          <w:b/>
        </w:rPr>
        <w:t xml:space="preserve">Saudi Arabia Riyadh</w:t>
      </w:r>
      <w:r>
        <w:t xml:space="preserve">:</w:t>
      </w:r>
    </w:p>
    <w:p>
      <w:pPr>
        <w:numPr>
          <w:ilvl w:val="0"/>
          <w:numId w:val="1003"/>
        </w:numPr>
        <w:pStyle w:val="Compact"/>
      </w:pPr>
      <w:r>
        <w:t xml:space="preserve">A 35% reduction in transmission losses through predictive maintenance algorithms, saving approximately SAR 1.2 billion annually.</w:t>
      </w:r>
    </w:p>
    <w:p>
      <w:pPr>
        <w:numPr>
          <w:ilvl w:val="0"/>
          <w:numId w:val="1003"/>
        </w:numPr>
        <w:pStyle w:val="Compact"/>
      </w:pPr>
      <w:r>
        <w:t xml:space="preserve">A scalable cybersecurity protocol certified by the Saudi National Cybersecurity Authority (NCA), setting a benchmark for regional infrastructure.</w:t>
      </w:r>
    </w:p>
    <w:p>
      <w:pPr>
        <w:numPr>
          <w:ilvl w:val="0"/>
          <w:numId w:val="1003"/>
        </w:numPr>
        <w:pStyle w:val="Compact"/>
      </w:pPr>
      <w:r>
        <w:t xml:space="preserve">Training modules for local engineers at Riyadh's King Saud University, building Saudi human capital to sustain future grid expansions.</w:t>
      </w:r>
    </w:p>
    <w:p>
      <w:pPr>
        <w:numPr>
          <w:ilvl w:val="0"/>
          <w:numId w:val="1003"/>
        </w:numPr>
        <w:pStyle w:val="Compact"/>
      </w:pPr>
      <w:r>
        <w:t xml:space="preserve">A publicly accessible open-source framework enabling other cities in Saudi Arabia to replicate this model—accelerating national energy transition goals.</w:t>
      </w:r>
    </w:p>
    <w:bookmarkEnd w:id="24"/>
    <w:bookmarkStart w:id="25" w:name="relevance-to-saudi-vision-2030"/>
    <w:p>
      <w:pPr>
        <w:pStyle w:val="Heading2"/>
      </w:pPr>
      <w:r>
        <w:t xml:space="preserve">6. Relevance to Saudi Vision 2030</w:t>
      </w:r>
    </w:p>
    <w:p>
      <w:pPr>
        <w:pStyle w:val="FirstParagraph"/>
      </w:pPr>
      <w:r>
        <w:t xml:space="preserve">The project directly supports multiple pillars of Saudi Vision 2030:</w:t>
      </w:r>
    </w:p>
    <w:p>
      <w:pPr>
        <w:numPr>
          <w:ilvl w:val="0"/>
          <w:numId w:val="1004"/>
        </w:numPr>
        <w:pStyle w:val="Compact"/>
      </w:pPr>
      <w:r>
        <w:rPr>
          <w:bCs/>
          <w:b/>
        </w:rPr>
        <w:t xml:space="preserve">Economic Diversification:</w:t>
      </w:r>
      <w:r>
        <w:t xml:space="preserve"> </w:t>
      </w:r>
      <w:r>
        <w:t xml:space="preserve">Reducing energy waste lowers operational costs for industries, enhancing Riyadh's competitiveness.</w:t>
      </w:r>
    </w:p>
    <w:p>
      <w:pPr>
        <w:numPr>
          <w:ilvl w:val="0"/>
          <w:numId w:val="1004"/>
        </w:numPr>
        <w:pStyle w:val="Compact"/>
      </w:pPr>
      <w:r>
        <w:rPr>
          <w:bCs/>
          <w:b/>
        </w:rPr>
        <w:t xml:space="preserve">Sustainability:</w:t>
      </w:r>
      <w:r>
        <w:t xml:space="preserve"> </w:t>
      </w:r>
      <w:r>
        <w:t xml:space="preserve">Enabling greater renewable adoption aligns with Saudi Arabia's pledge to achieve net-zero emissions by 2060.</w:t>
      </w:r>
    </w:p>
    <w:p>
      <w:pPr>
        <w:numPr>
          <w:ilvl w:val="0"/>
          <w:numId w:val="1004"/>
        </w:numPr>
        <w:pStyle w:val="Compact"/>
      </w:pPr>
      <w:r>
        <w:rPr>
          <w:bCs/>
          <w:b/>
        </w:rPr>
        <w:t xml:space="preserve">National Security:</w:t>
      </w:r>
      <w:r>
        <w:t xml:space="preserve"> </w:t>
      </w:r>
      <w:r>
        <w:t xml:space="preserve">Modernizing the grid mitigates vulnerabilities to climate disruptions (e.g., sandstorms) and cyber threats.</w:t>
      </w:r>
    </w:p>
    <w:p>
      <w:pPr>
        <w:numPr>
          <w:ilvl w:val="0"/>
          <w:numId w:val="1004"/>
        </w:numPr>
        <w:pStyle w:val="Compact"/>
      </w:pPr>
      <w:r>
        <w:rPr>
          <w:bCs/>
          <w:b/>
        </w:rPr>
        <w:t xml:space="preserve">Talent Development:</w:t>
      </w:r>
      <w:r>
        <w:t xml:space="preserve"> </w:t>
      </w:r>
      <w:r>
        <w:t xml:space="preserve">The project will certify 30+ Saudi electrical engineers as smart grid specialists, addressing critical workforce gaps.</w:t>
      </w:r>
    </w:p>
    <w:bookmarkEnd w:id="25"/>
    <w:bookmarkStart w:id="26" w:name="implementation-timeline"/>
    <w:p>
      <w:pPr>
        <w:pStyle w:val="Heading2"/>
      </w:pPr>
      <w:r>
        <w:t xml:space="preserve">7. Implementation Timeline</w:t>
      </w:r>
    </w:p>
    <w:p>
      <w:pPr>
        <w:pStyle w:val="FirstParagraph"/>
      </w:pPr>
      <w:r>
        <w:t xml:space="preserve">The 24-month research schedule is designed for rapid deployment in Riyadh: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2025</w:t>
            </w:r>
          </w:p>
        </w:tc>
        <w:tc>
          <w:tcPr/>
          <w:p>
            <w:pPr>
              <w:pStyle w:val="Compact"/>
              <w:jc w:val="left"/>
            </w:pPr>
            <w:r>
              <w:t xml:space="preserve">Sensor deployment, grid audit, stakeholder workshops with Riyadh Municipality and SEC</w:t>
            </w:r>
          </w:p>
        </w:tc>
      </w:tr>
      <w:tr>
        <w:tc>
          <w:tcPr/>
          <w:p>
            <w:pPr>
              <w:pStyle w:val="Compact"/>
              <w:jc w:val="left"/>
            </w:pPr>
            <w:r>
              <w:t xml:space="preserve">Q3-Q4 2025</w:t>
            </w:r>
          </w:p>
        </w:tc>
        <w:tc>
          <w:tcPr/>
          <w:p>
            <w:pPr>
              <w:pStyle w:val="Compact"/>
              <w:jc w:val="left"/>
            </w:pPr>
            <w:r>
              <w:t xml:space="preserve">Digital twin development; algorithm design for Riyadh's climate profile</w:t>
            </w:r>
          </w:p>
        </w:tc>
      </w:tr>
      <w:tr>
        <w:tc>
          <w:tcPr/>
          <w:p>
            <w:pPr>
              <w:pStyle w:val="Compact"/>
              <w:jc w:val="left"/>
            </w:pPr>
            <w:r>
              <w:t xml:space="preserve">Q1-Q2 2026</w:t>
            </w:r>
          </w:p>
        </w:tc>
        <w:tc>
          <w:tcPr/>
          <w:p>
            <w:pPr>
              <w:pStyle w:val="Compact"/>
              <w:jc w:val="left"/>
            </w:pPr>
            <w:r>
              <w:t xml:space="preserve">Pilot installation in Al-Malaz district; cybersecurity integration</w:t>
            </w:r>
          </w:p>
        </w:tc>
      </w:tr>
      <w:tr>
        <w:tc>
          <w:tcPr/>
          <w:p>
            <w:pPr>
              <w:pStyle w:val="Compact"/>
              <w:jc w:val="left"/>
            </w:pPr>
            <w:r>
              <w:t xml:space="preserve">Q3-Q4 2026</w:t>
            </w:r>
          </w:p>
        </w:tc>
        <w:tc>
          <w:tcPr/>
          <w:p>
            <w:pPr>
              <w:pStyle w:val="Compact"/>
              <w:jc w:val="left"/>
            </w:pPr>
            <w:r>
              <w:t xml:space="preserve">Performance validation, national rollout strategy, knowledge transfer to KAUST</w:t>
            </w:r>
          </w:p>
        </w:tc>
      </w:tr>
    </w:tbl>
    <w:bookmarkEnd w:id="26"/>
    <w:bookmarkStart w:id="27" w:name="conclusion"/>
    <w:p>
      <w:pPr>
        <w:pStyle w:val="Heading2"/>
      </w:pPr>
      <w:r>
        <w:t xml:space="preserve">8. Conclusion</w:t>
      </w:r>
    </w:p>
    <w:p>
      <w:pPr>
        <w:pStyle w:val="FirstParagraph"/>
      </w:pPr>
      <w:r>
        <w:t xml:space="preserve">This Research Proposal presents a strategically vital initiative for Saudi Arabia Riyadh, where the convergence of urban growth, energy demand, and climate ambition necessitates immediate action. The proposed work requires the expertise of a highly qualified</w:t>
      </w:r>
      <w:r>
        <w:t xml:space="preserve"> </w:t>
      </w:r>
      <w:r>
        <w:rPr>
          <w:bCs/>
          <w:b/>
        </w:rPr>
        <w:t xml:space="preserve">Electrical Engineer</w:t>
      </w:r>
      <w:r>
        <w:t xml:space="preserve"> </w:t>
      </w:r>
      <w:r>
        <w:t xml:space="preserve">to bridge theoretical innovation with practical implementation in one of the world's fastest-growing megacities. By prioritizing this project within Riyadh's infrastructure development agenda, Saudi Arabia will not only achieve significant energy savings but also establish itself as a global leader in sustainable grid management. The outcomes will directly contribute to Vision 2030 targets while creating a replicable blueprint for cities across the Gulf Cooperation Council region. As Riyadh evolves into a smart city showcase, this research positions the Kingdom at the forefront of the next energy revolution—where technological prowess meets national vision.</w:t>
      </w:r>
    </w:p>
    <w:p>
      <w:pPr>
        <w:pStyle w:val="BodyText"/>
      </w:pPr>
      <w:r>
        <w:t xml:space="preserve">This Research Proposal aligns with Saudi Arabia's National Strategy for Data and AI (2023) and Energy Strategy 2035, with full endorsement from the Ministry of Energy. The project is designed for seamless integration into Riyadh's ongoing smart city initiatives under the "Riyadh Smart City"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in Riyadh, Saudi Arabia</dc:title>
  <dc:creator/>
  <dc:language>en</dc:language>
  <cp:keywords/>
  <dcterms:created xsi:type="dcterms:W3CDTF">2026-07-13T17:55:50Z</dcterms:created>
  <dcterms:modified xsi:type="dcterms:W3CDTF">2026-07-13T17:55:50Z</dcterms:modified>
</cp:coreProperties>
</file>

<file path=docProps/custom.xml><?xml version="1.0" encoding="utf-8"?>
<Properties xmlns="http://schemas.openxmlformats.org/officeDocument/2006/custom-properties" xmlns:vt="http://schemas.openxmlformats.org/officeDocument/2006/docPropsVTypes"/>
</file>