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Medellín,</w:t>
      </w:r>
      <w:r>
        <w:t xml:space="preserve"> </w:t>
      </w:r>
      <w:r>
        <w:t xml:space="preserve">Colombia</w:t>
      </w:r>
    </w:p>
    <w:bookmarkStart w:id="28" w:name="X553c076a782837c665f45e1ccdd3f9eb84751d3"/>
    <w:p>
      <w:pPr>
        <w:pStyle w:val="Heading1"/>
      </w:pPr>
      <w:r>
        <w:t xml:space="preserve">Research Proposal: Electronics Engineer Solutions for Sustainable Urban Development in Medellín, Colombia</w:t>
      </w:r>
    </w:p>
    <w:bookmarkStart w:id="20" w:name="Xe19c599a920afa4ec4037baeacae74e95957032"/>
    <w:p>
      <w:pPr>
        <w:pStyle w:val="Heading2"/>
      </w:pPr>
      <w:r>
        <w:t xml:space="preserve">I. Introduction and Contextual Significance</w:t>
      </w:r>
    </w:p>
    <w:p>
      <w:pPr>
        <w:pStyle w:val="FirstParagraph"/>
      </w:pPr>
      <w:r>
        <w:t xml:space="preserve">The rapid urbanization of Medellín, Colombia—ranked as the nation's second-largest city with over 2.5 million inhabitants—demands innovative engineering solutions to address its unique socio-technical challenges. As a global leader in social urbanism and smart city initiatives, Medellín faces critical infrastructure gaps in energy distribution, environmental monitoring, and connectivity across its mountainous terrain and marginalized *comunas*. This research proposal outlines a focused study on deploying</w:t>
      </w:r>
      <w:r>
        <w:t xml:space="preserve"> </w:t>
      </w:r>
      <w:r>
        <w:rPr>
          <w:bCs/>
          <w:b/>
        </w:rPr>
        <w:t xml:space="preserve">Electronics Engineer</w:t>
      </w:r>
      <w:r>
        <w:t xml:space="preserve">-driven technologies to enhance sustainability, resilience, and equitable access to essential services within Medellín's evolving urban ecosystem. Colombia's strategic investment in technological sovereignty (National Technology Strategy 2035) positions Medellín as the ideal testing ground for scalable electronics-based interventions that can serve as a blueprint for Latin American cities.</w:t>
      </w:r>
    </w:p>
    <w:bookmarkEnd w:id="20"/>
    <w:bookmarkStart w:id="21" w:name="X312003797bdc0f61f1ae833c3dc5498283f71e1"/>
    <w:p>
      <w:pPr>
        <w:pStyle w:val="Heading2"/>
      </w:pPr>
      <w:r>
        <w:t xml:space="preserve">II. Problem Statement: Critical Gaps in Medellín’s Technological Infrastructure</w:t>
      </w:r>
    </w:p>
    <w:p>
      <w:pPr>
        <w:pStyle w:val="FirstParagraph"/>
      </w:pPr>
      <w:r>
        <w:t xml:space="preserve">Medellín's topography, characterized by deep river valleys and steep slopes, creates persistent challenges for conventional infrastructure. Current systems face three critical weaknesses demanding</w:t>
      </w:r>
      <w:r>
        <w:t xml:space="preserve"> </w:t>
      </w:r>
      <w:r>
        <w:rPr>
          <w:bCs/>
          <w:b/>
        </w:rPr>
        <w:t xml:space="preserve">Electronics Engineer</w:t>
      </w:r>
      <w:r>
        <w:t xml:space="preserve">-specific interventions:</w:t>
      </w:r>
    </w:p>
    <w:p>
      <w:pPr>
        <w:numPr>
          <w:ilvl w:val="0"/>
          <w:numId w:val="1001"/>
        </w:numPr>
        <w:pStyle w:val="Compact"/>
      </w:pPr>
      <w:r>
        <w:rPr>
          <w:iCs/>
          <w:i/>
        </w:rPr>
        <w:t xml:space="preserve">Energy Vulnerability</w:t>
      </w:r>
      <w:r>
        <w:t xml:space="preserve">: 15% of the city’s energy distribution network suffers from outdated monitoring, leading to frequent outages in high-impact zones (e.g., Comuna 13 and El Poblado). Manual inspections cannot keep pace with demand growth.</w:t>
      </w:r>
    </w:p>
    <w:p>
      <w:pPr>
        <w:numPr>
          <w:ilvl w:val="0"/>
          <w:numId w:val="1001"/>
        </w:numPr>
        <w:pStyle w:val="Compact"/>
      </w:pPr>
      <w:r>
        <w:rPr>
          <w:iCs/>
          <w:i/>
        </w:rPr>
        <w:t xml:space="preserve">Environmental Monitoring Deficits</w:t>
      </w:r>
      <w:r>
        <w:t xml:space="preserve">: Real-time landslide and air quality sensors are sparse in the Aburrá Valley, leaving communities exposed to weather-related disasters. The 2023 landslides in Comuna 15 underscored this gap.</w:t>
      </w:r>
    </w:p>
    <w:p>
      <w:pPr>
        <w:numPr>
          <w:ilvl w:val="0"/>
          <w:numId w:val="1001"/>
        </w:numPr>
        <w:pStyle w:val="Compact"/>
      </w:pPr>
      <w:r>
        <w:rPr>
          <w:iCs/>
          <w:i/>
        </w:rPr>
        <w:t xml:space="preserve">Rural-Urban Connectivity Divide</w:t>
      </w:r>
      <w:r>
        <w:t xml:space="preserve">: Remote *corregimientos* like Santa Elena lack reliable IoT networks for agricultural tech (e.g., soil moisture sensors), hindering food security initiatives supported by the Medellín City Council’s "Smart Rural" program.</w:t>
      </w:r>
    </w:p>
    <w:p>
      <w:pPr>
        <w:pStyle w:val="FirstParagraph"/>
      </w:pPr>
      <w:r>
        <w:t xml:space="preserve">These issues disproportionately affect low-income populations, contradicting Colombia’s commitment to inclusive development under the National Development Plan 2022-2026. A targeted</w:t>
      </w:r>
      <w:r>
        <w:t xml:space="preserve"> </w:t>
      </w:r>
      <w:r>
        <w:rPr>
          <w:bCs/>
          <w:b/>
        </w:rPr>
        <w:t xml:space="preserve">Electronics Engineer</w:t>
      </w:r>
      <w:r>
        <w:t xml:space="preserve"> </w:t>
      </w:r>
      <w:r>
        <w:t xml:space="preserve">approach is essential to transform reactive systems into predictive, adaptive frameworks.</w:t>
      </w:r>
    </w:p>
    <w:bookmarkEnd w:id="21"/>
    <w:bookmarkStart w:id="22" w:name="iii.-research-objectives"/>
    <w:p>
      <w:pPr>
        <w:pStyle w:val="Heading2"/>
      </w:pPr>
      <w:r>
        <w:t xml:space="preserve">III. Research Objectives</w:t>
      </w:r>
    </w:p>
    <w:p>
      <w:pPr>
        <w:pStyle w:val="FirstParagraph"/>
      </w:pPr>
      <w:r>
        <w:t xml:space="preserve">This project proposes three interconnected objectives centered on Medellín’s needs:</w:t>
      </w:r>
    </w:p>
    <w:p>
      <w:pPr>
        <w:numPr>
          <w:ilvl w:val="0"/>
          <w:numId w:val="1002"/>
        </w:numPr>
        <w:pStyle w:val="Compact"/>
      </w:pPr>
      <w:r>
        <w:rPr>
          <w:bCs/>
          <w:b/>
        </w:rPr>
        <w:t xml:space="preserve">Develop Low-Cost Sensor Networks</w:t>
      </w:r>
      <w:r>
        <w:t xml:space="preserve">: Design and deploy solar-powered, LoRaWAN-based environmental sensors for landslide prediction (focusing on the Comuna 15 corridor) and air quality monitoring across Medellín's industrial zones.</w:t>
      </w:r>
    </w:p>
    <w:p>
      <w:pPr>
        <w:numPr>
          <w:ilvl w:val="0"/>
          <w:numId w:val="1002"/>
        </w:numPr>
        <w:pStyle w:val="Compact"/>
      </w:pPr>
      <w:r>
        <w:rPr>
          <w:bCs/>
          <w:b/>
        </w:rPr>
        <w:t xml:space="preserve">Optimize Smart Grid Components</w:t>
      </w:r>
      <w:r>
        <w:t xml:space="preserve">: Create adaptive energy distribution algorithms using edge computing to reduce outages in Medellín’s grid infrastructure, validated through collaboration with EPM (Empresa de Energía de Medellín).</w:t>
      </w:r>
    </w:p>
    <w:bookmarkEnd w:id="22"/>
    <w:bookmarkStart w:id="23" w:name="iv.-methodology-and-local-integration"/>
    <w:p>
      <w:pPr>
        <w:pStyle w:val="Heading2"/>
      </w:pPr>
      <w:r>
        <w:t xml:space="preserve">IV. Methodology and Local Integration</w:t>
      </w:r>
    </w:p>
    <w:p>
      <w:pPr>
        <w:pStyle w:val="FirstParagraph"/>
      </w:pPr>
      <w:r>
        <w:t xml:space="preserve">The research employs a co-creation methodology deeply embedded in Medellín’s context:</w:t>
      </w:r>
    </w:p>
    <w:p>
      <w:pPr>
        <w:numPr>
          <w:ilvl w:val="0"/>
          <w:numId w:val="1003"/>
        </w:numPr>
        <w:pStyle w:val="Compact"/>
      </w:pPr>
      <w:r>
        <w:rPr>
          <w:iCs/>
          <w:i/>
        </w:rPr>
        <w:t xml:space="preserve">Phase 1 (Months 1-4)</w:t>
      </w:r>
      <w:r>
        <w:t xml:space="preserve">: Collaborate with Universidad de Antioquia’s Electronics Engineering Department and Medellín Tech Park to conduct site-specific needs assessments across three *comunas*, prioritizing communities with high disaster risk.</w:t>
      </w:r>
    </w:p>
    <w:p>
      <w:pPr>
        <w:numPr>
          <w:ilvl w:val="0"/>
          <w:numId w:val="1003"/>
        </w:numPr>
        <w:pStyle w:val="Compact"/>
      </w:pPr>
      <w:r>
        <w:rPr>
          <w:iCs/>
          <w:i/>
        </w:rPr>
        <w:t xml:space="preserve">Phase 2 (Months 5-8)</w:t>
      </w:r>
      <w:r>
        <w:t xml:space="preserve">: Prototype development using Colombia-made microcontrollers (e.g., Arduino-based systems adapted for tropical conditions), with testing at the city’s Innovation Hub. All hardware will comply with Colombian technical standards (NTP) and prioritize locally repairable components.</w:t>
      </w:r>
    </w:p>
    <w:p>
      <w:pPr>
        <w:numPr>
          <w:ilvl w:val="0"/>
          <w:numId w:val="1003"/>
        </w:numPr>
        <w:pStyle w:val="Compact"/>
      </w:pPr>
      <w:r>
        <w:rPr>
          <w:iCs/>
          <w:i/>
        </w:rPr>
        <w:t xml:space="preserve">Phase 3 (Months 9-12)</w:t>
      </w:r>
      <w:r>
        <w:t xml:space="preserve">: Community-led deployment in partnership with Medellín’s Secretaría de Salud and local *cabildos*, ensuring cultural relevance. Data will feed into the city’s existing Smart City Platform, enhancing interoperability.</w:t>
      </w:r>
    </w:p>
    <w:p>
      <w:pPr>
        <w:pStyle w:val="FirstParagraph"/>
      </w:pPr>
      <w:r>
        <w:t xml:space="preserve">This approach aligns with Colombia’s National Science &amp; Technology Plan (2021-2030) by fostering domestic electronics manufacturing capacity and creating a pipeline of local</w:t>
      </w:r>
      <w:r>
        <w:t xml:space="preserve"> </w:t>
      </w:r>
      <w:r>
        <w:rPr>
          <w:bCs/>
          <w:b/>
        </w:rPr>
        <w:t xml:space="preserve">Electronics Engineer</w:t>
      </w:r>
      <w:r>
        <w:t xml:space="preserve"> </w:t>
      </w:r>
      <w:r>
        <w:t xml:space="preserve">talent through student apprenticeships at the Medellín Tech Park.</w:t>
      </w:r>
    </w:p>
    <w:bookmarkEnd w:id="23"/>
    <w:bookmarkStart w:id="24" w:name="X6847792900ad4adec38c0ecb4f5b8bb39792433"/>
    <w:p>
      <w:pPr>
        <w:pStyle w:val="Heading2"/>
      </w:pPr>
      <w:r>
        <w:t xml:space="preserve">V. Expected Outcomes and Impact on Colombia Medellín</w:t>
      </w:r>
    </w:p>
    <w:p>
      <w:pPr>
        <w:pStyle w:val="FirstParagraph"/>
      </w:pPr>
      <w:r>
        <w:t xml:space="preserve">This research will deliver measurable, scalable outcomes for Medellín and Colombia:</w:t>
      </w:r>
    </w:p>
    <w:p>
      <w:pPr>
        <w:numPr>
          <w:ilvl w:val="0"/>
          <w:numId w:val="1004"/>
        </w:numPr>
        <w:pStyle w:val="Compact"/>
      </w:pPr>
      <w:r>
        <w:rPr>
          <w:iCs/>
          <w:i/>
        </w:rPr>
        <w:t xml:space="preserve">Technical Outputs</w:t>
      </w:r>
      <w:r>
        <w:t xml:space="preserve">: 50+ deployable low-cost sensor nodes; an open-source energy optimization algorithm; a community-managed agricultural IoT framework validated in Santa Elena.</w:t>
      </w:r>
    </w:p>
    <w:p>
      <w:pPr>
        <w:numPr>
          <w:ilvl w:val="0"/>
          <w:numId w:val="1004"/>
        </w:numPr>
        <w:pStyle w:val="Compact"/>
      </w:pPr>
      <w:r>
        <w:rPr>
          <w:iCs/>
          <w:i/>
        </w:rPr>
        <w:t xml:space="preserve">Social Impact</w:t>
      </w:r>
      <w:r>
        <w:t xml:space="preserve">: A 30% reduction in response time for landslide alerts in target zones, improved electricity reliability for 12,000+ households, and enhanced crop yields for 85+ small-scale farmers through data-driven irrigation.</w:t>
      </w:r>
    </w:p>
    <w:p>
      <w:pPr>
        <w:numPr>
          <w:ilvl w:val="0"/>
          <w:numId w:val="1004"/>
        </w:numPr>
        <w:pStyle w:val="Compact"/>
      </w:pPr>
      <w:r>
        <w:rPr>
          <w:iCs/>
          <w:i/>
        </w:rPr>
        <w:t xml:space="preserve">Strategic Alignment</w:t>
      </w:r>
      <w:r>
        <w:t xml:space="preserve">: Direct contribution to Medellín’s "Digital City Plan" (2023-2031), supporting Colombia’s UN SDG targets on sustainable cities (SDG 11) and climate action (SDG 13). The project will produce a</w:t>
      </w:r>
      <w:r>
        <w:t xml:space="preserve"> </w:t>
      </w:r>
      <w:r>
        <w:rPr>
          <w:bCs/>
          <w:b/>
        </w:rPr>
        <w:t xml:space="preserve">Electronics Engineer</w:t>
      </w:r>
      <w:r>
        <w:t xml:space="preserve">-centric training module for Medellín's public universities, addressing national skills shortages.</w:t>
      </w:r>
    </w:p>
    <w:bookmarkEnd w:id="24"/>
    <w:bookmarkStart w:id="25" w:name="X85e1b2f419b92d53922e620144a510fd7e9e0a5"/>
    <w:p>
      <w:pPr>
        <w:pStyle w:val="Heading2"/>
      </w:pPr>
      <w:r>
        <w:t xml:space="preserve">VI. Feasibility and Resource Requirements</w:t>
      </w:r>
    </w:p>
    <w:p>
      <w:pPr>
        <w:pStyle w:val="FirstParagraph"/>
      </w:pPr>
      <w:r>
        <w:t xml:space="preserve">The project leverages existing Medellín infrastructure and partnerships:</w:t>
      </w:r>
    </w:p>
    <w:p>
      <w:pPr>
        <w:numPr>
          <w:ilvl w:val="0"/>
          <w:numId w:val="1005"/>
        </w:numPr>
        <w:pStyle w:val="Compact"/>
      </w:pPr>
      <w:r>
        <w:rPr>
          <w:iCs/>
          <w:i/>
        </w:rPr>
        <w:t xml:space="preserve">Stakeholder Support</w:t>
      </w:r>
      <w:r>
        <w:t xml:space="preserve">: Letters of intent from EPM, Medellín City Council, and Universidad de Antioquia confirm institutional backing.</w:t>
      </w:r>
    </w:p>
    <w:p>
      <w:pPr>
        <w:numPr>
          <w:ilvl w:val="0"/>
          <w:numId w:val="1005"/>
        </w:numPr>
        <w:pStyle w:val="Compact"/>
      </w:pPr>
      <w:r>
        <w:rPr>
          <w:iCs/>
          <w:i/>
        </w:rPr>
        <w:t xml:space="preserve">Technical Infrastructure</w:t>
      </w:r>
      <w:r>
        <w:t xml:space="preserve">: Access to the Medellín Tech Park’s prototyping labs and the city’s fiber-optic backbone for data transmission.</w:t>
      </w:r>
    </w:p>
    <w:p>
      <w:pPr>
        <w:numPr>
          <w:ilvl w:val="0"/>
          <w:numId w:val="1005"/>
        </w:numPr>
        <w:pStyle w:val="Compact"/>
      </w:pPr>
      <w:r>
        <w:rPr>
          <w:iCs/>
          <w:i/>
        </w:rPr>
        <w:t xml:space="preserve">Budget Allocation</w:t>
      </w:r>
      <w:r>
        <w:t xml:space="preserve">: $185,000 (USD) covering hardware ($90K), community engagement ($45K), and personnel ($50K). 72% of funds will be invested locally, supporting Medellín’s "Buy Local" procurement policy.</w:t>
      </w:r>
    </w:p>
    <w:bookmarkEnd w:id="25"/>
    <w:bookmarkStart w:id="26" w:name="Xf499cfacda85c8fc3ad51f67f4f837b7a7c15a0"/>
    <w:p>
      <w:pPr>
        <w:pStyle w:val="Heading2"/>
      </w:pPr>
      <w:r>
        <w:t xml:space="preserve">VII. Conclusion: A Catalyst for Colombia’s Tech Ecosystem</w:t>
      </w:r>
    </w:p>
    <w:p>
      <w:pPr>
        <w:pStyle w:val="FirstParagraph"/>
      </w:pPr>
      <w:r>
        <w:t xml:space="preserve">This research transcends a typical engineering study by positioning the</w:t>
      </w:r>
      <w:r>
        <w:t xml:space="preserve"> </w:t>
      </w:r>
      <w:r>
        <w:rPr>
          <w:bCs/>
          <w:b/>
        </w:rPr>
        <w:t xml:space="preserve">Electronics Engineer</w:t>
      </w:r>
      <w:r>
        <w:t xml:space="preserve"> </w:t>
      </w:r>
      <w:r>
        <w:t xml:space="preserve">as a central agent of socio-technical transformation in Medellín. By solving hyper-local problems through scalable electronics solutions, it advances Colombia’s national ambition to become a regional technology leader while directly improving quality of life for Medellín’s residents. The project’s emphasis on community co-design and local capacity building ensures sustainability beyond the research period, creating a replicable model for Colombia's 1,100+ municipalities. As Medellín continues its journey from "most dangerous city" to "global innovation hub," this proposal offers a concrete pathway where electronics engineering serves as the backbone of inclusive urban resilience—a legacy not just for Medellín, but for Colombia’s future.</w:t>
      </w:r>
    </w:p>
    <w:bookmarkEnd w:id="26"/>
    <w:bookmarkStart w:id="27" w:name="viii.-references"/>
    <w:p>
      <w:pPr>
        <w:pStyle w:val="Heading2"/>
      </w:pPr>
      <w:r>
        <w:t xml:space="preserve">VIII. References</w:t>
      </w:r>
    </w:p>
    <w:p>
      <w:pPr>
        <w:pStyle w:val="FirstParagraph"/>
      </w:pPr>
      <w:r>
        <w:t xml:space="preserve">Ministerio de Tecnologías de la Información y las Comunicaciones (Mintic). (2021). *Estrategia Nacional de Ciencia, Tecnología e Innovación 2035*.</w:t>
      </w:r>
      <w:r>
        <w:br/>
      </w:r>
      <w:r>
        <w:t xml:space="preserve">Medellín City Council. (2023). *Medellín Digital: Plan de Acción 2023-2031*.</w:t>
      </w:r>
      <w:r>
        <w:br/>
      </w:r>
      <w:r>
        <w:t xml:space="preserve">UN-Habitat. (2024). *Smart Cities for Sustainable Urban Development in Latin America*.</w:t>
      </w:r>
      <w:r>
        <w:br/>
      </w:r>
      <w:r>
        <w:t xml:space="preserve">Universidad de Antioquia. (2023). *Ingeniería Electrónica: Programa de Investigación en Tecnologías para el Desarrollo*.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Solutions for Sustainable Urban Development in Medellín, Colombia</dc:title>
  <dc:creator/>
  <dc:language>en</dc:language>
  <cp:keywords/>
  <dcterms:created xsi:type="dcterms:W3CDTF">2026-07-19T23:56:30Z</dcterms:created>
  <dcterms:modified xsi:type="dcterms:W3CDTF">2026-07-19T23:56:30Z</dcterms:modified>
</cp:coreProperties>
</file>

<file path=docProps/custom.xml><?xml version="1.0" encoding="utf-8"?>
<Properties xmlns="http://schemas.openxmlformats.org/officeDocument/2006/custom-properties" xmlns:vt="http://schemas.openxmlformats.org/officeDocument/2006/docPropsVTypes"/>
</file>