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Bogotá</w:t>
      </w:r>
    </w:p>
    <w:bookmarkStart w:id="29" w:name="X2ad36757304ab9d0cb3cb51c06c6976a27ad7c3"/>
    <w:p>
      <w:pPr>
        <w:pStyle w:val="Heading1"/>
      </w:pPr>
      <w:r>
        <w:t xml:space="preserve">Research Proposal: The Role and Impact of Financial Analysts in Colombia Bogotá</w:t>
      </w:r>
    </w:p>
    <w:bookmarkStart w:id="20" w:name="introduction"/>
    <w:p>
      <w:pPr>
        <w:pStyle w:val="Heading2"/>
      </w:pPr>
      <w:r>
        <w:t xml:space="preserve">1. Introduction</w:t>
      </w:r>
    </w:p>
    <w:p>
      <w:pPr>
        <w:pStyle w:val="FirstParagraph"/>
      </w:pPr>
      <w:r>
        <w:t xml:space="preserve">The financial sector represents a cornerstone of Colombia's economic development, with Bogotá serving as the nation's undisputed financial epicenter. As the hub for over 60% of Colombia's banking institutions and the primary marketplace for the Colombian Stock Exchange (BVC), Bogotá attracts significant domestic and international investment capital. Within this dynamic environment, Financial Analysts function as critical arbiters of market efficiency, risk assessment, and strategic decision-making. However, despite their pivotal role in Colombia Bogotá's economic ecosystem, a comprehensive understanding of their evolving professional landscape remains fragmented. This Research Proposal seeks to address this gap by conducting an in-depth examination of the Financial Analyst profession specifically within the context of Colombia Bogotá.</w:t>
      </w:r>
    </w:p>
    <w:bookmarkEnd w:id="20"/>
    <w:bookmarkStart w:id="21" w:name="problem-statement"/>
    <w:p>
      <w:pPr>
        <w:pStyle w:val="Heading2"/>
      </w:pPr>
      <w:r>
        <w:t xml:space="preserve">2. Problem Statement</w:t>
      </w:r>
    </w:p>
    <w:p>
      <w:pPr>
        <w:pStyle w:val="FirstParagraph"/>
      </w:pPr>
      <w:r>
        <w:t xml:space="preserve">Colombia has experienced remarkable financial sector growth, with Bogotá's economy contributing over 30% to the national GDP. Yet, persistent challenges—including regulatory complexity, market volatility during geopolitical events (e.g., the 2016 peace accord), and limited access to advanced analytical tools—create significant operational hurdles for Financial Analysts. Current studies on financial professionals in Latin America rarely isolate Bogotá's unique context, overlooking how Colombia's specific economic structure, cultural dynamics of investment decision-making, and rapid digital transformation impact these professionals. This research gap impedes the development of targeted capacity-building initiatives, professional standards, and policy frameworks essential for Colombia Bogotá to compete globally. Without evidence-based insights into the Financial Analyst role in this critical market, both businesses and policymakers operate with incomplete information.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Financial Analysts operating in Colombia Bogotá, including their institutional affiliations (banks, asset managers, corporations), key responsibilities, and required competencies.</w:t>
      </w:r>
    </w:p>
    <w:p>
      <w:pPr>
        <w:numPr>
          <w:ilvl w:val="0"/>
          <w:numId w:val="1001"/>
        </w:numPr>
        <w:pStyle w:val="Compact"/>
      </w:pPr>
      <w:r>
        <w:t xml:space="preserve">To identify systemic challenges faced by Financial Analysts in Bogotá due to Colombia-specific factors such as regulatory frameworks (e.g., Superintendencia Financiera), market liquidity constraints, and cultural preferences in investment behavior.</w:t>
      </w:r>
    </w:p>
    <w:p>
      <w:pPr>
        <w:numPr>
          <w:ilvl w:val="0"/>
          <w:numId w:val="1001"/>
        </w:numPr>
        <w:pStyle w:val="Compact"/>
      </w:pPr>
      <w:r>
        <w:t xml:space="preserve">To assess the quantitative and qualitative impact of Financial Analysts on investment decisions within Colombian firms headquartered in Bogotá, measuring correlations between their analyses and portfolio performance.</w:t>
      </w:r>
    </w:p>
    <w:p>
      <w:pPr>
        <w:numPr>
          <w:ilvl w:val="0"/>
          <w:numId w:val="1001"/>
        </w:numPr>
        <w:pStyle w:val="Compact"/>
      </w:pPr>
      <w:r>
        <w:t xml:space="preserve">To develop evidence-based recommendations for enhancing the training, professional development, and technological integration of Financial Analysts in Colombia Bogotá.</w:t>
      </w:r>
    </w:p>
    <w:bookmarkEnd w:id="22"/>
    <w:bookmarkStart w:id="23" w:name="literature-review-synthesis"/>
    <w:p>
      <w:pPr>
        <w:pStyle w:val="Heading2"/>
      </w:pPr>
      <w:r>
        <w:t xml:space="preserve">4. Literature Review (Synthesis)</w:t>
      </w:r>
    </w:p>
    <w:p>
      <w:pPr>
        <w:pStyle w:val="FirstParagraph"/>
      </w:pPr>
      <w:r>
        <w:t xml:space="preserve">Existing literature highlights financial analysts' roles in emerging markets as crucial for reducing information asymmetry (Glosten &amp; Milgrom, 1985), yet studies focusing on Colombia remain scarce. Research by the Central Bank of Colombia (2020) notes Bogotá's dominance in financial services but fails to detail analyst-specific contributions. International studies (e.g., CFA Institute, 2023) emphasize global best practices, but neglect regional adaptations required for markets like Colombia Bogotá where informal networks and relationship-driven decision-making still heavily influence investment choices. A notable gap exists between theoretical frameworks of financial analysis and the practical realities of operating within Colombia's evolving regulatory environment—a context this Research Proposal will address head-on.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Colombia Bogotá's context:</w:t>
      </w:r>
    </w:p>
    <w:p>
      <w:pPr>
        <w:numPr>
          <w:ilvl w:val="0"/>
          <w:numId w:val="1002"/>
        </w:numPr>
        <w:pStyle w:val="Compact"/>
      </w:pPr>
      <w:r>
        <w:rPr>
          <w:bCs/>
          <w:b/>
        </w:rPr>
        <w:t xml:space="preserve">Phase 1: Quantitative Survey (N=300)</w:t>
      </w:r>
      <w:r>
        <w:t xml:space="preserve"> </w:t>
      </w:r>
      <w:r>
        <w:t xml:space="preserve">– Distributed to Financial Analysts across Bogotá-based institutions (e.g., Bancolombia, Davivienda, local asset managers). Metrics will include role scope, tools used (e.g., Bloomberg vs. local platforms), perceived challenges, and performance correlation data.</w:t>
      </w:r>
    </w:p>
    <w:p>
      <w:pPr>
        <w:numPr>
          <w:ilvl w:val="0"/>
          <w:numId w:val="1002"/>
        </w:numPr>
        <w:pStyle w:val="Compact"/>
      </w:pPr>
      <w:r>
        <w:rPr>
          <w:bCs/>
          <w:b/>
        </w:rPr>
        <w:t xml:space="preserve">Phase 2: Qualitative Interviews (N=30)</w:t>
      </w:r>
      <w:r>
        <w:t xml:space="preserve"> </w:t>
      </w:r>
      <w:r>
        <w:t xml:space="preserve">– In-depth conversations with senior Financial Analysts, institutional C-suite leaders (e.g., CFOs at Bogotá-headquartered companies), and regulators from the Superintendencia Financiera to contextualize survey findings.</w:t>
      </w:r>
    </w:p>
    <w:p>
      <w:pPr>
        <w:numPr>
          <w:ilvl w:val="0"/>
          <w:numId w:val="1002"/>
        </w:numPr>
        <w:pStyle w:val="Compact"/>
      </w:pPr>
      <w:r>
        <w:rPr>
          <w:bCs/>
          <w:b/>
        </w:rPr>
        <w:t xml:space="preserve">Phase 3: Market Analysis</w:t>
      </w:r>
      <w:r>
        <w:t xml:space="preserve"> </w:t>
      </w:r>
      <w:r>
        <w:t xml:space="preserve">– Correlation of analyst recommendations (from Bogotá-based firms) with BVC stock performance over a 5-year period, using statistical tools like regression analysis.</w:t>
      </w:r>
    </w:p>
    <w:p>
      <w:pPr>
        <w:pStyle w:val="FirstParagraph"/>
      </w:pPr>
      <w:r>
        <w:t xml:space="preserve">Data collection will prioritize Bogotá's unique urban financial ecosystem, accounting for factors like the city's altitude-related infrastructure constraints and its status as Colombia’s primary hub for foreign direct investment. Ethical approval will be secured through Universidad Nacional de Colombia (Bogotá), ensuring confidentiality per Colombian data protection laws.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Professional Framework Development:</w:t>
      </w:r>
      <w:r>
        <w:t xml:space="preserve"> </w:t>
      </w:r>
      <w:r>
        <w:t xml:space="preserve">A tailored competency model for Financial Analysts in Colombia Bogotá, addressing gaps between academic training (e.g., Universidad de los Andes' finance programs) and market demands. This will directly support institutions like the CFA Society Colombia in curriculum design.</w:t>
      </w:r>
    </w:p>
    <w:p>
      <w:pPr>
        <w:numPr>
          <w:ilvl w:val="0"/>
          <w:numId w:val="1003"/>
        </w:numPr>
        <w:pStyle w:val="Compact"/>
      </w:pPr>
      <w:r>
        <w:rPr>
          <w:bCs/>
          <w:b/>
        </w:rPr>
        <w:t xml:space="preserve">Economic Impact Assessment:</w:t>
      </w:r>
      <w:r>
        <w:t xml:space="preserve"> </w:t>
      </w:r>
      <w:r>
        <w:t xml:space="preserve">Quantifiable evidence demonstrating how enhanced Financial Analyst capabilities reduce investment risks for Colombian firms. For example, data showing whether Bogotá-based analysts’ sector-specific insights correlate with 15%+ higher portfolio returns during market downturns (e.g., 2022–2023 volatility).</w:t>
      </w:r>
    </w:p>
    <w:p>
      <w:pPr>
        <w:numPr>
          <w:ilvl w:val="0"/>
          <w:numId w:val="1003"/>
        </w:numPr>
        <w:pStyle w:val="Compact"/>
      </w:pPr>
      <w:r>
        <w:rPr>
          <w:bCs/>
          <w:b/>
        </w:rPr>
        <w:t xml:space="preserve">Policy Recommendations:</w:t>
      </w:r>
      <w:r>
        <w:t xml:space="preserve"> </w:t>
      </w:r>
      <w:r>
        <w:t xml:space="preserve">Actionable proposals for the Colombian government and Superintendencia Financiera to streamline regulations affecting Financial Analysts, such as harmonizing disclosure requirements with international standards while preserving Colombia Bogotá’s market distinctiveness.</w:t>
      </w:r>
    </w:p>
    <w:p>
      <w:pPr>
        <w:pStyle w:val="FirstParagraph"/>
      </w:pPr>
      <w:r>
        <w:t xml:space="preserve">The significance extends beyond academia: By positioning Financial Analysts as strategic assets rather than mere data processors, this research will empower Colombian businesses to leverage Bogotá's financial infrastructure for sustainable growth. For Colombia Bogotá specifically, it offers a blueprint to attract multinational firms seeking analytical talent in Latin America’s most advanced market.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Cultural context report; validated survey instruments.</w:t>
            </w:r>
          </w:p>
        </w:tc>
      </w:tr>
      <w:tr>
        <w:tc>
          <w:tcPr/>
          <w:p>
            <w:pPr>
              <w:pStyle w:val="Compact"/>
              <w:jc w:val="left"/>
            </w:pPr>
            <w:r>
              <w:t xml:space="preserve">Fieldwork: Data Collection</w:t>
            </w:r>
          </w:p>
        </w:tc>
        <w:tc>
          <w:tcPr/>
          <w:p>
            <w:pPr>
              <w:pStyle w:val="Compact"/>
              <w:jc w:val="left"/>
            </w:pPr>
            <w:r>
              <w:t xml:space="preserve">Months 3–5</w:t>
            </w:r>
          </w:p>
        </w:tc>
        <w:tc>
          <w:tcPr/>
          <w:p>
            <w:pPr>
              <w:pStyle w:val="Compact"/>
              <w:jc w:val="left"/>
            </w:pPr>
            <w:r>
              <w:t xml:space="preserve">Survey data (N=300); Interview transcripts (N=30).</w:t>
            </w:r>
          </w:p>
        </w:tc>
      </w:tr>
      <w:tr>
        <w:tc>
          <w:tcPr/>
          <w:p>
            <w:pPr>
              <w:pStyle w:val="Compact"/>
              <w:jc w:val="left"/>
            </w:pPr>
            <w:r>
              <w:t xml:space="preserve">Data Analysis &amp; Draft Report</w:t>
            </w:r>
          </w:p>
        </w:tc>
        <w:tc>
          <w:tcPr/>
          <w:p>
            <w:pPr>
              <w:pStyle w:val="Compact"/>
              <w:jc w:val="left"/>
            </w:pPr>
            <w:r>
              <w:t xml:space="preserve">Months 6–7</w:t>
            </w:r>
          </w:p>
        </w:tc>
        <w:tc>
          <w:tcPr/>
          <w:p>
            <w:pPr>
              <w:pStyle w:val="Compact"/>
              <w:jc w:val="left"/>
            </w:pPr>
            <w:r>
              <w:t xml:space="preserve">Statistical models; preliminary recommendations.</w:t>
            </w:r>
          </w:p>
        </w:tc>
      </w:tr>
      <w:tr>
        <w:tc>
          <w:tcPr/>
          <w:p>
            <w:pPr>
              <w:pStyle w:val="Compact"/>
              <w:jc w:val="left"/>
            </w:pPr>
            <w:r>
              <w:t xml:space="preserve">Stakeholder Validation Workshop (Bogotá)</w:t>
            </w:r>
          </w:p>
        </w:tc>
        <w:tc>
          <w:tcPr/>
          <w:p>
            <w:pPr>
              <w:pStyle w:val="Compact"/>
              <w:jc w:val="left"/>
            </w:pPr>
            <w:r>
              <w:t xml:space="preserve">Month 8</w:t>
            </w:r>
          </w:p>
        </w:tc>
        <w:tc>
          <w:tcPr/>
          <w:p>
            <w:pPr>
              <w:pStyle w:val="Compact"/>
              <w:jc w:val="left"/>
            </w:pPr>
            <w:r>
              <w:t xml:space="preserve">Cross-validated findings with industry leaders.</w:t>
            </w:r>
          </w:p>
        </w:tc>
      </w:tr>
      <w:tr>
        <w:tc>
          <w:tcPr/>
          <w:p>
            <w:pPr>
              <w:pStyle w:val="Compact"/>
              <w:jc w:val="left"/>
            </w:pPr>
            <w:r>
              <w:t xml:space="preserve">Final Research Proposal Report</w:t>
            </w:r>
          </w:p>
        </w:tc>
        <w:tc>
          <w:tcPr/>
          <w:p>
            <w:pPr>
              <w:pStyle w:val="Compact"/>
              <w:jc w:val="left"/>
            </w:pPr>
            <w:r>
              <w:t xml:space="preserve">Month 9</w:t>
            </w:r>
          </w:p>
        </w:tc>
        <w:tc>
          <w:tcPr/>
          <w:p>
            <w:pPr>
              <w:pStyle w:val="Compact"/>
              <w:jc w:val="left"/>
            </w:pPr>
            <w:r>
              <w:t xml:space="preserve">Publishable document + policy briefs for Colombian institutions.</w:t>
            </w:r>
          </w:p>
        </w:tc>
      </w:tr>
    </w:tbl>
    <w:bookmarkEnd w:id="26"/>
    <w:bookmarkStart w:id="27" w:name="conclusion"/>
    <w:p>
      <w:pPr>
        <w:pStyle w:val="Heading2"/>
      </w:pPr>
      <w:r>
        <w:t xml:space="preserve">8. Conclusion</w:t>
      </w:r>
    </w:p>
    <w:p>
      <w:pPr>
        <w:pStyle w:val="FirstParagraph"/>
      </w:pPr>
      <w:r>
        <w:t xml:space="preserve">This Research Proposal establishes a critical foundation for understanding the Financial Analyst profession in Colombia Bogotá—a market where precision in financial analysis directly translates to national economic resilience. As Colombia continues its trajectory toward becoming a regional financial powerhouse, the insights generated from this study will serve as indispensable intelligence for professionals, educators, and policymakers. By centering our inquiry on Bogotá's specific institutional and cultural dynamics, we move beyond generic analyses to deliver actionable strategies that strengthen Colombia Bogotá’s position at the heart of Latin America’s evolving capital markets. The success of this Research Proposal will not merely advance academic discourse but catalyze tangible improvements in how financial decisions are made across Colombia’s most vibrant economic engine.</w:t>
      </w:r>
    </w:p>
    <w:bookmarkEnd w:id="27"/>
    <w:bookmarkStart w:id="28" w:name="references-key-sources"/>
    <w:p>
      <w:pPr>
        <w:pStyle w:val="Heading2"/>
      </w:pPr>
      <w:r>
        <w:t xml:space="preserve">9. References (Key Sources)</w:t>
      </w:r>
    </w:p>
    <w:p>
      <w:pPr>
        <w:numPr>
          <w:ilvl w:val="0"/>
          <w:numId w:val="1004"/>
        </w:numPr>
        <w:pStyle w:val="Compact"/>
      </w:pPr>
      <w:r>
        <w:t xml:space="preserve">Central Bank of Colombia. (2020). *Financial Sector Annual Report*. Bogotá: Banco de la República.</w:t>
      </w:r>
    </w:p>
    <w:p>
      <w:pPr>
        <w:numPr>
          <w:ilvl w:val="0"/>
          <w:numId w:val="1004"/>
        </w:numPr>
        <w:pStyle w:val="Compact"/>
      </w:pPr>
      <w:r>
        <w:t xml:space="preserve">Glosten, L.R., &amp; Milgrom, P.R. (1985). "Bid, Ask and Transaction Prices in a Specialist Market with Heterogeneously Informed Traders." *Journal of Financial Economics*, 14(1), 71–100.</w:t>
      </w:r>
    </w:p>
    <w:p>
      <w:pPr>
        <w:numPr>
          <w:ilvl w:val="0"/>
          <w:numId w:val="1004"/>
        </w:numPr>
        <w:pStyle w:val="Compact"/>
      </w:pPr>
      <w:r>
        <w:t xml:space="preserve">CFA Institute. (2023). *Global Investment Performance Standards (GIPS) Handbook*. New York: CFA Institute.</w:t>
      </w:r>
    </w:p>
    <w:p>
      <w:pPr>
        <w:numPr>
          <w:ilvl w:val="0"/>
          <w:numId w:val="1004"/>
        </w:numPr>
        <w:pStyle w:val="Compact"/>
      </w:pPr>
      <w:r>
        <w:t xml:space="preserve">Superintendencia Financiera de Colombia. (2022). *Regulatory Framework for Financial Analysts*. Bogotá: SFC.</w:t>
      </w:r>
    </w:p>
    <w:p>
      <w:pPr>
        <w:pStyle w:val="FirstParagraph"/>
      </w:pPr>
      <w:r>
        <w:rPr>
          <w:bCs/>
          <w:b/>
        </w:rPr>
        <w:t xml:space="preserve">Research Proposal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Financial Analysts in Colombia Bogotá</dc:title>
  <dc:creator/>
  <dc:language>en</dc:language>
  <cp:keywords/>
  <dcterms:created xsi:type="dcterms:W3CDTF">2026-07-23T12:55:13Z</dcterms:created>
  <dcterms:modified xsi:type="dcterms:W3CDTF">2026-07-23T12:55:13Z</dcterms:modified>
</cp:coreProperties>
</file>

<file path=docProps/custom.xml><?xml version="1.0" encoding="utf-8"?>
<Properties xmlns="http://schemas.openxmlformats.org/officeDocument/2006/custom-properties" xmlns:vt="http://schemas.openxmlformats.org/officeDocument/2006/docPropsVTypes"/>
</file>