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7" w:name="X80c03cbc1969aecab6470781f4b39490cb9ab47"/>
    <w:p>
      <w:pPr>
        <w:pStyle w:val="Heading1"/>
      </w:pPr>
      <w:r>
        <w:t xml:space="preserve">Research Proposal: The Evolving Role of the Financial Analyst in France Lyon's Dynamic Economic Landscape</w:t>
      </w:r>
    </w:p>
    <w:bookmarkStart w:id="20" w:name="introduction-and-research-context"/>
    <w:p>
      <w:pPr>
        <w:pStyle w:val="Heading2"/>
      </w:pPr>
      <w:r>
        <w:t xml:space="preserve">1. Introduction and Research Context</w:t>
      </w:r>
    </w:p>
    <w:p>
      <w:pPr>
        <w:pStyle w:val="FirstParagraph"/>
      </w:pPr>
      <w:r>
        <w:t xml:space="preserve">This Research Proposal investigates the critical and rapidly evolving role of the</w:t>
      </w:r>
      <w:r>
        <w:t xml:space="preserve"> </w:t>
      </w:r>
      <w:r>
        <w:rPr>
          <w:bCs/>
          <w:b/>
        </w:rPr>
        <w:t xml:space="preserve">Financial Analyst</w:t>
      </w:r>
      <w:r>
        <w:t xml:space="preserve"> </w:t>
      </w:r>
      <w:r>
        <w:t xml:space="preserve">within the unique economic ecosystem of</w:t>
      </w:r>
      <w:r>
        <w:t xml:space="preserve"> </w:t>
      </w:r>
      <w:r>
        <w:rPr>
          <w:bCs/>
          <w:b/>
        </w:rPr>
        <w:t xml:space="preserve">France Lyon</w:t>
      </w:r>
      <w:r>
        <w:t xml:space="preserve">. As France's second-largest financial hub after Paris, Lyon has emerged as a pivotal center for investment banking, asset management, fintech innovation, and sustainable finance. The city hosts major institutions including Credit Agricole’s regional headquarters, the Caisse des Dépôts’ strategic initiatives in the Auvergne-Rhône-Alpes region, and an expanding cluster of fintech startups leveraging Lyon's academic excellence (e.g., EM Lyon Business School). This research addresses a pressing gap: while global trends reshape financial analysis—such as artificial intelligence, ESG integration, and regulatory complexity—there is insufficient localized study of how these shifts specifically impact the</w:t>
      </w:r>
      <w:r>
        <w:t xml:space="preserve"> </w:t>
      </w:r>
      <w:r>
        <w:rPr>
          <w:bCs/>
          <w:b/>
        </w:rPr>
        <w:t xml:space="preserve">Financial Analyst</w:t>
      </w:r>
      <w:r>
        <w:t xml:space="preserve"> </w:t>
      </w:r>
      <w:r>
        <w:t xml:space="preserve">role in</w:t>
      </w:r>
      <w:r>
        <w:t xml:space="preserve"> </w:t>
      </w:r>
      <w:r>
        <w:rPr>
          <w:bCs/>
          <w:b/>
        </w:rPr>
        <w:t xml:space="preserve">France Lyon</w:t>
      </w:r>
      <w:r>
        <w:t xml:space="preserve">. Understanding this dynamic is essential for talent development, corporate strategy, and regional economic resilience.</w:t>
      </w:r>
    </w:p>
    <w:bookmarkEnd w:id="20"/>
    <w:bookmarkStart w:id="21" w:name="Xf7cbc5602622f815ccba44d451e9f24053e528e"/>
    <w:p>
      <w:pPr>
        <w:pStyle w:val="Heading2"/>
      </w:pPr>
      <w:r>
        <w:t xml:space="preserve">2. Problem Statement and Research Objectives</w:t>
      </w:r>
    </w:p>
    <w:p>
      <w:pPr>
        <w:pStyle w:val="FirstParagraph"/>
      </w:pPr>
      <w:r>
        <w:t xml:space="preserve">The rapid digitalization of financial services and heightened regulatory demands (e.g., EU Taxonomy Regulation, SFDR) are redefining the core competencies required of a</w:t>
      </w:r>
      <w:r>
        <w:t xml:space="preserve"> </w:t>
      </w:r>
      <w:r>
        <w:rPr>
          <w:bCs/>
          <w:b/>
        </w:rPr>
        <w:t xml:space="preserve">Financial Analyst</w:t>
      </w:r>
      <w:r>
        <w:t xml:space="preserve">. In</w:t>
      </w:r>
      <w:r>
        <w:t xml:space="preserve"> </w:t>
      </w:r>
      <w:r>
        <w:rPr>
          <w:bCs/>
          <w:b/>
        </w:rPr>
        <w:t xml:space="preserve">France Lyon</w:t>
      </w:r>
      <w:r>
        <w:t xml:space="preserve">, this transformation is accelerated by the city’s strategic position as a bridge between Parisian finance and Southern European markets. However, current professional training programs and corporate practices in Lyon lag behind these innovations. This research directly tackles three critical issues:</w:t>
      </w:r>
    </w:p>
    <w:p>
      <w:pPr>
        <w:numPr>
          <w:ilvl w:val="0"/>
          <w:numId w:val="1001"/>
        </w:numPr>
        <w:pStyle w:val="Compact"/>
      </w:pPr>
      <w:r>
        <w:rPr>
          <w:iCs/>
          <w:i/>
        </w:rPr>
        <w:t xml:space="preserve">Skills Gap Identification</w:t>
      </w:r>
      <w:r>
        <w:t xml:space="preserve">: Quantifying the mismatch between existing financial analyst skill sets and emerging industry demands (e.g., AI-driven data modeling, ESG metrics integration) within Lyon-based firms.</w:t>
      </w:r>
    </w:p>
    <w:p>
      <w:pPr>
        <w:numPr>
          <w:ilvl w:val="0"/>
          <w:numId w:val="1001"/>
        </w:numPr>
        <w:pStyle w:val="Compact"/>
      </w:pPr>
      <w:r>
        <w:rPr>
          <w:iCs/>
          <w:i/>
        </w:rPr>
        <w:t xml:space="preserve">Regional Adaptation Analysis</w:t>
      </w:r>
      <w:r>
        <w:t xml:space="preserve">: Assessing how Lyon-specific factors—such as its strong SME ecosystem, EU regulatory proximity, and cultural emphasis on sustainability—shape the practical application of financial analysis.</w:t>
      </w:r>
    </w:p>
    <w:p>
      <w:pPr>
        <w:numPr>
          <w:ilvl w:val="0"/>
          <w:numId w:val="1001"/>
        </w:numPr>
        <w:pStyle w:val="Compact"/>
      </w:pPr>
      <w:r>
        <w:rPr>
          <w:iCs/>
          <w:i/>
        </w:rPr>
        <w:t xml:space="preserve">Talent Pipeline Assessment</w:t>
      </w:r>
      <w:r>
        <w:t xml:space="preserve">: Evaluating the effectiveness of local educational institutions (e.g., Université de Lyon, INSA Lyon) in preparing graduates for contemporary</w:t>
      </w:r>
      <w:r>
        <w:t xml:space="preserve"> </w:t>
      </w:r>
      <w:r>
        <w:rPr>
          <w:bCs/>
          <w:b/>
        </w:rPr>
        <w:t xml:space="preserve">Financial Analyst</w:t>
      </w:r>
      <w:r>
        <w:t xml:space="preserve"> </w:t>
      </w:r>
      <w:r>
        <w:t xml:space="preserve">roles in the</w:t>
      </w:r>
      <w:r>
        <w:t xml:space="preserve"> </w:t>
      </w:r>
      <w:r>
        <w:rPr>
          <w:bCs/>
          <w:b/>
        </w:rPr>
        <w:t xml:space="preserve">France Lyon</w:t>
      </w:r>
      <w:r>
        <w:t xml:space="preserve"> </w:t>
      </w:r>
      <w:r>
        <w:t xml:space="preserve">context.</w:t>
      </w:r>
    </w:p>
    <w:bookmarkEnd w:id="21"/>
    <w:bookmarkStart w:id="22" w:name="Xb36f9851452ed9ca8f612a7496b439db431c765"/>
    <w:p>
      <w:pPr>
        <w:pStyle w:val="Heading2"/>
      </w:pPr>
      <w:r>
        <w:t xml:space="preserve">3. Literature Review: Global Trends and Local Relevance</w:t>
      </w:r>
    </w:p>
    <w:p>
      <w:pPr>
        <w:pStyle w:val="FirstParagraph"/>
      </w:pPr>
      <w:r>
        <w:t xml:space="preserve">Existing literature (e.g., Deloitte’s 2023 Global Financial Analysis Report; European Banking Authority, 2024) emphasizes AI’s role in automating routine analysis, pushing analysts toward strategic advisory functions. However, these studies are predominantly Paris-centric or focused on Anglo-Saxon markets.</w:t>
      </w:r>
      <w:r>
        <w:t xml:space="preserve"> </w:t>
      </w:r>
      <w:r>
        <w:rPr>
          <w:bCs/>
          <w:b/>
        </w:rPr>
        <w:t xml:space="preserve">France Lyon</w:t>
      </w:r>
      <w:r>
        <w:t xml:space="preserve"> </w:t>
      </w:r>
      <w:r>
        <w:t xml:space="preserve">presents a distinct case: its proximity to the EU’s financial regulatory body (European Central Bank is based in Frankfurt, but Lyon hosts numerous EU-aligned consultancies) and its leadership in green finance initiatives (e.g., the “Lyon Green Finance Platform”) create unique pressures. A 2023 study by the Lyon Economic Observatory noted that 68% of regional asset managers now require ESG literacy from analysts—significantly higher than the national average. This research will contextualize global trends within Lyon’s specific institutional, regulatory, and cultural framework.</w:t>
      </w:r>
    </w:p>
    <w:bookmarkEnd w:id="22"/>
    <w:bookmarkStart w:id="23" w:name="methodology-a-mixed-methods-approach"/>
    <w:p>
      <w:pPr>
        <w:pStyle w:val="Heading2"/>
      </w:pPr>
      <w:r>
        <w:t xml:space="preserve">4. Methodology: A Mixed-Methods Approach</w:t>
      </w:r>
    </w:p>
    <w:p>
      <w:pPr>
        <w:pStyle w:val="FirstParagraph"/>
      </w:pPr>
      <w:r>
        <w:t xml:space="preserve">This research employs a pragmatic mixed-methods design to ensure robust, actionable insights for the</w:t>
      </w:r>
      <w:r>
        <w:t xml:space="preserve"> </w:t>
      </w:r>
      <w:r>
        <w:rPr>
          <w:bCs/>
          <w:b/>
        </w:rPr>
        <w:t xml:space="preserve">France Lyon</w:t>
      </w:r>
      <w:r>
        <w:t xml:space="preserve"> </w:t>
      </w:r>
      <w:r>
        <w:t xml:space="preserve">context:</w:t>
      </w:r>
    </w:p>
    <w:p>
      <w:pPr>
        <w:numPr>
          <w:ilvl w:val="0"/>
          <w:numId w:val="1002"/>
        </w:numPr>
        <w:pStyle w:val="Compact"/>
      </w:pPr>
      <w:r>
        <w:rPr>
          <w:iCs/>
          <w:i/>
        </w:rPr>
        <w:t xml:space="preserve">Quantitative Component</w:t>
      </w:r>
      <w:r>
        <w:t xml:space="preserve">: Analysis of 500+ job postings for Financial Analyst roles in Lyon (2021–2024) from platforms like LinkedIn, Indeed France, and local portals (e.g., Lyon Emploi). Metrics include required skills, experience levels, and ESG/AI keywords. This data will be compared with regional labor market reports from the Auvergne-Rhône-Alpes Regional Council.</w:t>
      </w:r>
    </w:p>
    <w:p>
      <w:pPr>
        <w:numPr>
          <w:ilvl w:val="0"/>
          <w:numId w:val="1002"/>
        </w:numPr>
        <w:pStyle w:val="Compact"/>
      </w:pPr>
      <w:r>
        <w:rPr>
          <w:iCs/>
          <w:i/>
        </w:rPr>
        <w:t xml:space="preserve">Qualitative Component</w:t>
      </w:r>
      <w:r>
        <w:t xml:space="preserve">: Semi-structured interviews (n=30) with Financial Analysts at key Lyon institutions (e.g., Société Générale’s Lyon operations, local asset managers like Mirova, fintech firms such as Lendix), HR directors from regional corporations, and faculty from EM Lyon. Focus will be on evolving responsibilities and skill acquisition challenges.</w:t>
      </w:r>
    </w:p>
    <w:p>
      <w:pPr>
        <w:numPr>
          <w:ilvl w:val="0"/>
          <w:numId w:val="1002"/>
        </w:numPr>
        <w:pStyle w:val="Compact"/>
      </w:pPr>
      <w:r>
        <w:rPr>
          <w:iCs/>
          <w:i/>
        </w:rPr>
        <w:t xml:space="preserve">Case Study</w:t>
      </w:r>
      <w:r>
        <w:t xml:space="preserve">: In-depth analysis of one major financial transformation project in Lyon (e.g., Credit Agricole’s AI-driven portfolio analytics rollout) to illustrate real-world adaptation dynamics.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rPr>
          <w:iCs/>
          <w:i/>
        </w:rPr>
        <w:t xml:space="preserve">Dynamic Competency Framework</w:t>
      </w:r>
      <w:r>
        <w:t xml:space="preserve">: A validated framework defining the evolving skill set of the Financial Analyst in France Lyon, explicitly integrating ESG, data analytics, and regional regulatory nuance. This will guide HR departments and educational programs.</w:t>
      </w:r>
    </w:p>
    <w:p>
      <w:pPr>
        <w:numPr>
          <w:ilvl w:val="0"/>
          <w:numId w:val="1003"/>
        </w:numPr>
        <w:pStyle w:val="Compact"/>
      </w:pPr>
      <w:r>
        <w:rPr>
          <w:iCs/>
          <w:i/>
        </w:rPr>
        <w:t xml:space="preserve">Regional Strategic Roadmap</w:t>
      </w:r>
      <w:r>
        <w:t xml:space="preserve">: Evidence-based recommendations for Lyon’s economic development agencies (e.g., Lyon Métropole) to align talent strategy with sectoral growth priorities, such as scaling sustainable finance roles.</w:t>
      </w:r>
    </w:p>
    <w:p>
      <w:pPr>
        <w:numPr>
          <w:ilvl w:val="0"/>
          <w:numId w:val="1003"/>
        </w:numPr>
        <w:pStyle w:val="Compact"/>
      </w:pPr>
      <w:r>
        <w:rPr>
          <w:iCs/>
          <w:i/>
        </w:rPr>
        <w:t xml:space="preserve">Academic Contribution</w:t>
      </w:r>
      <w:r>
        <w:t xml:space="preserve">: A nuanced understanding of how geographic and institutional context shapes financial professions—a gap in European business literature—positioning Lyon as a model for regional financial innovation studies.</w:t>
      </w:r>
    </w:p>
    <w:p>
      <w:pPr>
        <w:pStyle w:val="FirstParagraph"/>
      </w:pPr>
      <w:r>
        <w:t xml:space="preserve">The significance extends beyond academia: by clarifying the modern Financial Analyst’s role, this research will empower Lyon-based firms to reduce recruitment costs (currently estimated at €32k per hire in the region), accelerate digital transformation, and strengthen France’s position as a European financial leader. For students and professionals in</w:t>
      </w:r>
      <w:r>
        <w:t xml:space="preserve"> </w:t>
      </w:r>
      <w:r>
        <w:rPr>
          <w:bCs/>
          <w:b/>
        </w:rPr>
        <w:t xml:space="preserve">France Lyon</w:t>
      </w:r>
      <w:r>
        <w:t xml:space="preserve">, it provides a clear pathway to future-ready careers.</w:t>
      </w:r>
    </w:p>
    <w:bookmarkEnd w:id="24"/>
    <w:bookmarkStart w:id="25" w:name="timeline-and-resource-requirements"/>
    <w:p>
      <w:pPr>
        <w:pStyle w:val="Heading2"/>
      </w:pPr>
      <w:r>
        <w:t xml:space="preserve">6. Timeline and Resource Requirements</w:t>
      </w:r>
    </w:p>
    <w:p>
      <w:pPr>
        <w:pStyle w:val="FirstParagraph"/>
      </w:pPr>
      <w:r>
        <w:t xml:space="preserve">The project will run over 14 months with phased deliverables:</w:t>
      </w:r>
    </w:p>
    <w:p>
      <w:pPr>
        <w:numPr>
          <w:ilvl w:val="0"/>
          <w:numId w:val="1004"/>
        </w:numPr>
        <w:pStyle w:val="Compact"/>
      </w:pPr>
      <w:r>
        <w:rPr>
          <w:iCs/>
          <w:i/>
        </w:rPr>
        <w:t xml:space="preserve">Months 1–3</w:t>
      </w:r>
      <w:r>
        <w:t xml:space="preserve">: Literature review, data collection framework design, ethical approval.</w:t>
      </w:r>
    </w:p>
    <w:p>
      <w:pPr>
        <w:numPr>
          <w:ilvl w:val="0"/>
          <w:numId w:val="1004"/>
        </w:numPr>
        <w:pStyle w:val="Compact"/>
      </w:pPr>
      <w:r>
        <w:rPr>
          <w:iCs/>
          <w:i/>
        </w:rPr>
        <w:t xml:space="preserve">Months 4–8</w:t>
      </w:r>
      <w:r>
        <w:t xml:space="preserve">: Job posting analysis; interview recruitment and execution.</w:t>
      </w:r>
    </w:p>
    <w:p>
      <w:pPr>
        <w:numPr>
          <w:ilvl w:val="0"/>
          <w:numId w:val="1004"/>
        </w:numPr>
        <w:pStyle w:val="Compact"/>
      </w:pPr>
      <w:r>
        <w:rPr>
          <w:iCs/>
          <w:i/>
        </w:rPr>
        <w:t xml:space="preserve">Months 9–12</w:t>
      </w:r>
      <w:r>
        <w:t xml:space="preserve">: Data synthesis, case study deep dive, draft framework development.</w:t>
      </w:r>
    </w:p>
    <w:p>
      <w:pPr>
        <w:numPr>
          <w:ilvl w:val="0"/>
          <w:numId w:val="1004"/>
        </w:numPr>
        <w:pStyle w:val="Compact"/>
      </w:pPr>
      <w:r>
        <w:rPr>
          <w:iCs/>
          <w:i/>
        </w:rPr>
        <w:t xml:space="preserve">Months 13–14</w:t>
      </w:r>
      <w:r>
        <w:t xml:space="preserve">: Final report validation with Lyon Chamber of Commerce partners; dissemination workshop for stakeholders (financial institutions, universities).</w:t>
      </w:r>
    </w:p>
    <w:p>
      <w:pPr>
        <w:pStyle w:val="FirstParagraph"/>
      </w:pPr>
      <w:r>
        <w:t xml:space="preserve">Required resources include access to regional employment databases (via partnership with the Rhône-Alpes Employment Agency), a research assistant for data processing, and travel budget for on-site interviews in</w:t>
      </w:r>
      <w:r>
        <w:t xml:space="preserve"> </w:t>
      </w:r>
      <w:r>
        <w:rPr>
          <w:bCs/>
          <w:b/>
        </w:rPr>
        <w:t xml:space="preserve">France Lyon</w:t>
      </w:r>
      <w:r>
        <w:t xml:space="preserve">. Estimated total cost: €48,500.</w:t>
      </w:r>
    </w:p>
    <w:bookmarkEnd w:id="25"/>
    <w:bookmarkStart w:id="26" w:name="conclusion"/>
    <w:p>
      <w:pPr>
        <w:pStyle w:val="Heading2"/>
      </w:pPr>
      <w:r>
        <w:t xml:space="preserve">7. Conclusion</w:t>
      </w:r>
    </w:p>
    <w:p>
      <w:pPr>
        <w:pStyle w:val="FirstParagraph"/>
      </w:pPr>
      <w:r>
        <w:t xml:space="preserve">The role of the Financial Analyst is no longer confined to spreadsheets and historical reporting; it is central to driving innovation, sustainability, and strategic agility in today’s finance sector. In</w:t>
      </w:r>
      <w:r>
        <w:t xml:space="preserve"> </w:t>
      </w:r>
      <w:r>
        <w:rPr>
          <w:bCs/>
          <w:b/>
        </w:rPr>
        <w:t xml:space="preserve">France Lyon</w:t>
      </w:r>
      <w:r>
        <w:t xml:space="preserve">, this evolution holds particular weight given the city’s unique position as a catalyst for European financial innovation. This Research Proposal directly responds to the urgent need for localized insight into how the Financial Analyst profession is adapting within Lyon's distinct economic landscape. By bridging global trends with regional practice, this study will deliver actionable intelligence that empowers organizations, educators, and policymakers in</w:t>
      </w:r>
      <w:r>
        <w:t xml:space="preserve"> </w:t>
      </w:r>
      <w:r>
        <w:rPr>
          <w:bCs/>
          <w:b/>
        </w:rPr>
        <w:t xml:space="preserve">France Lyon</w:t>
      </w:r>
      <w:r>
        <w:t xml:space="preserve"> </w:t>
      </w:r>
      <w:r>
        <w:t xml:space="preserve">to cultivate a resilient, future-ready financial talent ecosystem. The findings promise to not only elevate the profession locally but also contribute a replicable model for other European cities navigating similar transformations.</w:t>
      </w:r>
    </w:p>
    <w:p>
      <w:pPr>
        <w:pStyle w:val="BodyText"/>
      </w:pPr>
      <w:r>
        <w:rPr>
          <w:iCs/>
          <w:i/>
        </w:rPr>
        <w:t xml:space="preserve">This Research Proposal represents a vital step toward ensuring that France Lyon remains at the vanguard of financial excellence in Europe, where the Financial Analyst is no longer just a number-cruncher but the strategic compass for tomorrow’s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France Lyon's Dynamic Economic Landscape</dc:title>
  <dc:creator/>
  <cp:keywords/>
  <dcterms:created xsi:type="dcterms:W3CDTF">2026-07-23T12:57:30Z</dcterms:created>
  <dcterms:modified xsi:type="dcterms:W3CDTF">2026-07-23T12:57:30Z</dcterms:modified>
</cp:coreProperties>
</file>

<file path=docProps/custom.xml><?xml version="1.0" encoding="utf-8"?>
<Properties xmlns="http://schemas.openxmlformats.org/officeDocument/2006/custom-properties" xmlns:vt="http://schemas.openxmlformats.org/officeDocument/2006/docPropsVTypes"/>
</file>