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Indonesia</w:t>
      </w:r>
      <w:r>
        <w:t xml:space="preserve"> </w:t>
      </w:r>
      <w:r>
        <w:t xml:space="preserve">Jakarta's</w:t>
      </w:r>
      <w:r>
        <w:t xml:space="preserve"> </w:t>
      </w:r>
      <w:r>
        <w:t xml:space="preserve">Evolving</w:t>
      </w:r>
      <w:r>
        <w:t xml:space="preserve"> </w:t>
      </w:r>
      <w:r>
        <w:t xml:space="preserve">Financial</w:t>
      </w:r>
      <w:r>
        <w:t xml:space="preserve"> </w:t>
      </w:r>
      <w:r>
        <w:t xml:space="preserve">Landscape</w:t>
      </w:r>
    </w:p>
    <w:bookmarkStart w:id="29" w:name="X007621c582fcc1ec085ed2986a501eedbfdb138"/>
    <w:p>
      <w:pPr>
        <w:pStyle w:val="Heading1"/>
      </w:pPr>
      <w:r>
        <w:t xml:space="preserve">Research Proposal: The Strategic Role of Financial Analysts in Indonesia Jakarta's Evolving Financial Landscape</w:t>
      </w:r>
    </w:p>
    <w:bookmarkStart w:id="20" w:name="introduction"/>
    <w:p>
      <w:pPr>
        <w:pStyle w:val="Heading2"/>
      </w:pPr>
      <w:r>
        <w:t xml:space="preserve">1. Introduction</w:t>
      </w:r>
    </w:p>
    <w:p>
      <w:pPr>
        <w:pStyle w:val="FirstParagraph"/>
      </w:pPr>
      <w:r>
        <w:t xml:space="preserve">The Indonesian capital city of Jakarta stands as the epicenter of Southeast Asia's financial innovation, housing 70% of Indonesia's banking institutions and hosting the IDX (Indonesia Stock Exchange). As Indonesia accelerates its economic transformation toward a $5 trillion economy by 2045, the demand for sophisticated financial expertise has surged. This</w:t>
      </w:r>
      <w:r>
        <w:t xml:space="preserve"> </w:t>
      </w:r>
      <w:r>
        <w:rPr>
          <w:iCs/>
          <w:i/>
        </w:rPr>
        <w:t xml:space="preserve">Research Proposal</w:t>
      </w:r>
      <w:r>
        <w:t xml:space="preserve"> </w:t>
      </w:r>
      <w:r>
        <w:t xml:space="preserve">investigates the critical role of the</w:t>
      </w:r>
      <w:r>
        <w:t xml:space="preserve"> </w:t>
      </w:r>
      <w:r>
        <w:rPr>
          <w:bCs/>
          <w:b/>
        </w:rPr>
        <w:t xml:space="preserve">Financial Analyst</w:t>
      </w:r>
      <w:r>
        <w:t xml:space="preserve"> </w:t>
      </w:r>
      <w:r>
        <w:t xml:space="preserve">within Jakarta's dynamic market ecosystem. While global literature extensively covers financial analysis in developed markets, there remains a significant knowledge gap regarding localized practices, cultural nuances, and emerging challenges specific to Indonesia Jakarta. This study addresses this void by examining how Financial Analysts navigate unique regulatory frameworks, geopolitical variables, and market volatility to drive investment decisions in one of the world's most promising emerging economies.</w:t>
      </w:r>
    </w:p>
    <w:bookmarkEnd w:id="20"/>
    <w:bookmarkStart w:id="21" w:name="problem-statement"/>
    <w:p>
      <w:pPr>
        <w:pStyle w:val="Heading2"/>
      </w:pPr>
      <w:r>
        <w:t xml:space="preserve">2. Problem Statement</w:t>
      </w:r>
    </w:p>
    <w:p>
      <w:pPr>
        <w:pStyle w:val="FirstParagraph"/>
      </w:pPr>
      <w:r>
        <w:t xml:space="preserve">Despite Jakarta's position as ASEAN's third-largest financial hub (after Singapore and Bangkok), its Financial Analysts operate within a complex environment characterized by fragmented data infrastructure, rapidly evolving capital regulations, and cultural dynamics that differ significantly from Western markets. Current studies on financial analysis predominantly focus on OECD economies, overlooking critical factors in Indonesia Jakarta such as: (1) the impact of</w:t>
      </w:r>
      <w:r>
        <w:t xml:space="preserve"> </w:t>
      </w:r>
      <w:r>
        <w:rPr>
          <w:iCs/>
          <w:i/>
        </w:rPr>
        <w:t xml:space="preserve">Berita Acara Nota Kesepakatan</w:t>
      </w:r>
      <w:r>
        <w:t xml:space="preserve"> </w:t>
      </w:r>
      <w:r>
        <w:t xml:space="preserve">(BAN) regulatory changes on sectoral analysis; (2) how local business practices like *gotong royong* (mutual cooperation) influence credit assessment models; and (3) the growing influence of Islamic finance on equity valuation methodologies. This research gap impedes both academic understanding and practical implementation of effective financial advisory frameworks in Indonesia Jakarta, potentially leading to suboptimal capital allocation and missed growth opportunities.</w:t>
      </w:r>
    </w:p>
    <w:bookmarkEnd w:id="21"/>
    <w:bookmarkStart w:id="22" w:name="research-objectives"/>
    <w:p>
      <w:pPr>
        <w:pStyle w:val="Heading2"/>
      </w:pPr>
      <w:r>
        <w:t xml:space="preserve">3. Research Objectives</w:t>
      </w:r>
    </w:p>
    <w:p>
      <w:pPr>
        <w:numPr>
          <w:ilvl w:val="0"/>
          <w:numId w:val="1001"/>
        </w:numPr>
        <w:pStyle w:val="Compact"/>
      </w:pPr>
      <w:r>
        <w:t xml:space="preserve">To map the operational framework of Financial Analysts across Jakarta's key sectors: banking (e.g., Bank Mandiri, BCA), capital markets (IDX-listed firms), and emerging fintech startups.</w:t>
      </w:r>
    </w:p>
    <w:p>
      <w:pPr>
        <w:numPr>
          <w:ilvl w:val="0"/>
          <w:numId w:val="1001"/>
        </w:numPr>
        <w:pStyle w:val="Compact"/>
      </w:pPr>
      <w:r>
        <w:t xml:space="preserve">To identify 5-7 critical challenges unique to Financial Analysts in Indonesia Jakarta, including data accessibility limitations and regulatory adaptation costs.</w:t>
      </w:r>
    </w:p>
    <w:p>
      <w:pPr>
        <w:numPr>
          <w:ilvl w:val="0"/>
          <w:numId w:val="1001"/>
        </w:numPr>
        <w:pStyle w:val="Compact"/>
      </w:pPr>
      <w:r>
        <w:t xml:space="preserve">To develop a culturally contextualized analytical model incorporating local factors like *keterbukaan informasi* (information transparency) norms and social sentiment indicators from Indonesian digital platforms.</w:t>
      </w:r>
    </w:p>
    <w:p>
      <w:pPr>
        <w:numPr>
          <w:ilvl w:val="0"/>
          <w:numId w:val="1001"/>
        </w:numPr>
        <w:pStyle w:val="Compact"/>
      </w:pPr>
      <w:r>
        <w:t xml:space="preserve">To assess the correlation between Financial Analysts' recommendations and market performance in Jakarta's volatile environment (2019-2024).</w:t>
      </w:r>
    </w:p>
    <w:bookmarkEnd w:id="22"/>
    <w:bookmarkStart w:id="23" w:name="literature-review"/>
    <w:p>
      <w:pPr>
        <w:pStyle w:val="Heading2"/>
      </w:pPr>
      <w:r>
        <w:t xml:space="preserve">4. Literature Review</w:t>
      </w:r>
    </w:p>
    <w:p>
      <w:pPr>
        <w:pStyle w:val="FirstParagraph"/>
      </w:pPr>
      <w:r>
        <w:t xml:space="preserve">Existing scholarship on financial analysis demonstrates strong foundations in Western contexts (e.g., Jegadeesh &amp; Titman, 1993; Grullon et al., 2013). However, emerging market studies remain limited. Recent work by Siregar (2021) examines Indonesia's capital markets but focuses on macroeconomic policy rather than micro-level analyst practices. Similarly, a World Bank report (2023) highlights Jakarta's financial inclusion metrics without addressing how Financial Analysts leverage these for investment strategy. Crucially, no research has systematically analyzed the *Indonesian* Financial Analyst's workflow within Jakarta's specific regulatory sandbox (e.g., OJK Regulation No. 41/POJK.04/2019 on ESG integration) or their adaptation to the nation's $37 billion fintech ecosystem centered in Jakarta. This study bridges that gap through fieldwork-intensive methodology.</w:t>
      </w:r>
    </w:p>
    <w:bookmarkEnd w:id="23"/>
    <w:bookmarkStart w:id="24" w:name="methodology"/>
    <w:p>
      <w:pPr>
        <w:pStyle w:val="Heading2"/>
      </w:pPr>
      <w:r>
        <w:t xml:space="preserve">5. Methodology</w:t>
      </w:r>
    </w:p>
    <w:p>
      <w:pPr>
        <w:pStyle w:val="FirstParagraph"/>
      </w:pPr>
      <w:r>
        <w:t xml:space="preserve">This mixed-methods research employs a 18-month phased approach tailored to Indonesia Jakarta's context:</w:t>
      </w:r>
    </w:p>
    <w:p>
      <w:pPr>
        <w:numPr>
          <w:ilvl w:val="0"/>
          <w:numId w:val="1002"/>
        </w:numPr>
        <w:pStyle w:val="Compact"/>
      </w:pPr>
      <w:r>
        <w:rPr>
          <w:bCs/>
          <w:b/>
        </w:rPr>
        <w:t xml:space="preserve">Phase 1 (Months 1-4):</w:t>
      </w:r>
      <w:r>
        <w:t xml:space="preserve"> </w:t>
      </w:r>
      <w:r>
        <w:t xml:space="preserve">Quantitative analysis of 5 years of IDX data (2019-2023) correlating Financial Analysts' sector-specific recommendations with stock performance, controlling for events like the Rupiah volatility crisis (Q3 2020) and ASEAN integration initiatives.</w:t>
      </w:r>
    </w:p>
    <w:p>
      <w:pPr>
        <w:numPr>
          <w:ilvl w:val="0"/>
          <w:numId w:val="1002"/>
        </w:numPr>
        <w:pStyle w:val="Compact"/>
      </w:pPr>
      <w:r>
        <w:rPr>
          <w:bCs/>
          <w:b/>
        </w:rPr>
        <w:t xml:space="preserve">Phase 2 (Months 5-10):</w:t>
      </w:r>
      <w:r>
        <w:t xml:space="preserve"> </w:t>
      </w:r>
      <w:r>
        <w:t xml:space="preserve">Qualitative fieldwork: Semi-structured interviews with 45+ Financial Analysts across Jakarta's major institutions (e.g., CIMB Niaga, Bahana SEC), alongside focus groups with fund managers at PT Danareksa and OJK regulators. All sessions will be conducted in Indonesian with professional translation support.</w:t>
      </w:r>
    </w:p>
    <w:p>
      <w:pPr>
        <w:numPr>
          <w:ilvl w:val="0"/>
          <w:numId w:val="1002"/>
        </w:numPr>
        <w:pStyle w:val="Compact"/>
      </w:pPr>
      <w:r>
        <w:rPr>
          <w:bCs/>
          <w:b/>
        </w:rPr>
        <w:t xml:space="preserve">Phase 3 (Months 11-14):</w:t>
      </w:r>
      <w:r>
        <w:t xml:space="preserve"> </w:t>
      </w:r>
      <w:r>
        <w:t xml:space="preserve">Development of a Jakarta-specific analytical toolkit incorporating local indicators: (a) *Saham Kecil* (micro-stock) sentiment analysis from platforms like Twitter Indonesia and Instagram; (b) Impact assessment of government programs like the</w:t>
      </w:r>
      <w:r>
        <w:t xml:space="preserve"> </w:t>
      </w:r>
      <w:r>
        <w:rPr>
          <w:iCs/>
          <w:i/>
        </w:rPr>
        <w:t xml:space="preserve">Kartu Indonesia Sehat</w:t>
      </w:r>
      <w:r>
        <w:t xml:space="preserve"> </w:t>
      </w:r>
      <w:r>
        <w:t xml:space="preserve">on healthcare sector valuations; (c) Islamic finance compliance scoring for stock recommendations.</w:t>
      </w:r>
    </w:p>
    <w:p>
      <w:pPr>
        <w:numPr>
          <w:ilvl w:val="0"/>
          <w:numId w:val="1002"/>
        </w:numPr>
        <w:pStyle w:val="Compact"/>
      </w:pPr>
      <w:r>
        <w:rPr>
          <w:bCs/>
          <w:b/>
        </w:rPr>
        <w:t xml:space="preserve">Phase 4 (Months 15-18):</w:t>
      </w:r>
      <w:r>
        <w:t xml:space="preserve"> </w:t>
      </w:r>
      <w:r>
        <w:t xml:space="preserve">Validation workshops with Jakarta Chamber of Commerce and Indonesian Financial Analyst Association (AFAI) to refine findings.</w:t>
      </w:r>
    </w:p>
    <w:p>
      <w:pPr>
        <w:pStyle w:val="FirstParagraph"/>
      </w:pPr>
      <w:r>
        <w:t xml:space="preserve">Data will be analyzed using NVivo for qualitative coding and STATA for regression modeling, ensuring alignment with Indonesia Jakarta's statistical reporting standards (BPS-Statistics Indonesia).</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outputs directly applicable to Jakarta:</w:t>
      </w:r>
    </w:p>
    <w:p>
      <w:pPr>
        <w:numPr>
          <w:ilvl w:val="0"/>
          <w:numId w:val="1003"/>
        </w:numPr>
        <w:pStyle w:val="Compact"/>
      </w:pPr>
      <w:r>
        <w:rPr>
          <w:bCs/>
          <w:b/>
        </w:rPr>
        <w:t xml:space="preserve">A Framework for Contextual Financial Analysis:</w:t>
      </w:r>
      <w:r>
        <w:t xml:space="preserve"> </w:t>
      </w:r>
      <w:r>
        <w:t xml:space="preserve">A proprietary model integrating local socio-economic factors (e.g., *gotong royong* risk assessment) into traditional valuation methods, addressing the specific needs of Indonesian Financial Analysts.</w:t>
      </w:r>
    </w:p>
    <w:p>
      <w:pPr>
        <w:numPr>
          <w:ilvl w:val="0"/>
          <w:numId w:val="1003"/>
        </w:numPr>
        <w:pStyle w:val="Compact"/>
      </w:pPr>
      <w:r>
        <w:rPr>
          <w:bCs/>
          <w:b/>
        </w:rPr>
        <w:t xml:space="preserve">Regulatory Adaptation Guide:</w:t>
      </w:r>
      <w:r>
        <w:t xml:space="preserve"> </w:t>
      </w:r>
      <w:r>
        <w:t xml:space="preserve">Practical protocols for navigating Indonesia Jakarta's evolving OJK requirements, particularly for ESG and digital asset analysis.</w:t>
      </w:r>
    </w:p>
    <w:p>
      <w:pPr>
        <w:numPr>
          <w:ilvl w:val="0"/>
          <w:numId w:val="1003"/>
        </w:numPr>
        <w:pStyle w:val="Compact"/>
      </w:pPr>
      <w:r>
        <w:rPr>
          <w:bCs/>
          <w:b/>
        </w:rPr>
        <w:t xml:space="preserve">Industry Report:</w:t>
      </w:r>
      <w:r>
        <w:t xml:space="preserve"> </w:t>
      </w:r>
      <w:r>
        <w:t xml:space="preserve">"Jakarta Financial Analyst Benchmarking Study" providing sector-specific KPIs (e.g., analyst accuracy rates in commodities vs. tech sectors) to inform hiring practices at institutions like Bank Negara Indonesia.</w:t>
      </w:r>
    </w:p>
    <w:p>
      <w:pPr>
        <w:numPr>
          <w:ilvl w:val="0"/>
          <w:numId w:val="1003"/>
        </w:numPr>
        <w:pStyle w:val="Compact"/>
      </w:pPr>
      <w:r>
        <w:rPr>
          <w:bCs/>
          <w:b/>
        </w:rPr>
        <w:t xml:space="preserve">Cultural Competency Training Module:</w:t>
      </w:r>
      <w:r>
        <w:t xml:space="preserve"> </w:t>
      </w:r>
      <w:r>
        <w:t xml:space="preserve">Curriculum for Financial Analysts on interpreting local business etiquette (e.g., *mangatur waktu* - time management norms) during client negotiations, developed with input from Jakarta-based corporate trainers.</w:t>
      </w:r>
    </w:p>
    <w:p>
      <w:pPr>
        <w:pStyle w:val="FirstParagraph"/>
      </w:pPr>
      <w:r>
        <w:t xml:space="preserve">The significance extends beyond academia: For Indonesia Jakarta's economic vision, these outcomes directly support national goals under the 2020-2045 National Medium-Term Development Plan. By optimizing Financial Analyst workflows, this research could unlock $1.8 billion in annual capital efficiency gains (based on World Bank estimates of current misallocation costs in ASEAN emerging markets), while strengthening Jakarta's position as a regional finance hub.</w:t>
      </w:r>
    </w:p>
    <w:bookmarkEnd w:id="25"/>
    <w:bookmarkStart w:id="26" w:name="timeline-and-resource-allocation"/>
    <w:p>
      <w:pPr>
        <w:pStyle w:val="Heading2"/>
      </w:pPr>
      <w:r>
        <w:t xml:space="preserve">7. Timeline and Resource Allocation</w:t>
      </w:r>
    </w:p>
    <w:p>
      <w:pPr>
        <w:pStyle w:val="FirstParagraph"/>
      </w:pPr>
      <w:r>
        <w:t xml:space="preserve">The project will commence January 2025 with a team of 5 researchers (3 Indonesia-based, 2 international financial specialists). Key milestones include:</w:t>
      </w:r>
      <w:r>
        <w:t xml:space="preserve"> </w:t>
      </w:r>
      <w:r>
        <w:t xml:space="preserve">- Q1: Literature review completion &amp; survey instrument design</w:t>
      </w:r>
      <w:r>
        <w:t xml:space="preserve"> </w:t>
      </w:r>
      <w:r>
        <w:t xml:space="preserve">- Q3: Fieldwork launch in Jakarta's Central Business District (CBD)</w:t>
      </w:r>
      <w:r>
        <w:t xml:space="preserve"> </w:t>
      </w:r>
      <w:r>
        <w:t xml:space="preserve">- Q4: First draft of analytical model validated with PT Asuransi Jiwa Bersama</w:t>
      </w:r>
      <w:r>
        <w:t xml:space="preserve"> </w:t>
      </w:r>
      <w:r>
        <w:t xml:space="preserve">- December 2025: Final report submission to Ministry of Finance Jakarta</w:t>
      </w:r>
    </w:p>
    <w:bookmarkEnd w:id="26"/>
    <w:bookmarkStart w:id="27" w:name="conclusion"/>
    <w:p>
      <w:pPr>
        <w:pStyle w:val="Heading2"/>
      </w:pPr>
      <w:r>
        <w:t xml:space="preserve">8. Conclusion</w:t>
      </w:r>
    </w:p>
    <w:p>
      <w:pPr>
        <w:pStyle w:val="FirstParagraph"/>
      </w:pPr>
      <w:r>
        <w:t xml:space="preserve">As Indonesia Jakarta transitions from a commodity-driven economy toward innovation-led growth, the strategic value of Financial Analysts becomes increasingly pivotal. This</w:t>
      </w:r>
      <w:r>
        <w:t xml:space="preserve"> </w:t>
      </w:r>
      <w:r>
        <w:rPr>
          <w:iCs/>
          <w:i/>
        </w:rPr>
        <w:t xml:space="preserve">Research Proposal</w:t>
      </w:r>
      <w:r>
        <w:t xml:space="preserve"> </w:t>
      </w:r>
      <w:r>
        <w:t xml:space="preserve">advances a critical, locally grounded understanding of how Financial Analysts operate within Indonesia Jakarta's unique market fabric—where regulatory nuance meets cultural specificity and economic ambition. By moving beyond generic analytical frameworks to embed Indonesia-centric variables into practice, this study will equip Financial Analysts with actionable insights to drive smarter capital allocation across the nation’s most dynamic financial center. Ultimately, it positions Jakarta not merely as a recipient of global financial practices, but as an innovator shaping next-generation analysis methodologies for emerging markets worldwide.</w:t>
      </w:r>
    </w:p>
    <w:bookmarkEnd w:id="27"/>
    <w:bookmarkStart w:id="28" w:name="references-selected"/>
    <w:p>
      <w:pPr>
        <w:pStyle w:val="Heading2"/>
      </w:pPr>
      <w:r>
        <w:t xml:space="preserve">9. References (Selected)</w:t>
      </w:r>
    </w:p>
    <w:p>
      <w:pPr>
        <w:pStyle w:val="FirstParagraph"/>
      </w:pPr>
      <w:r>
        <w:t xml:space="preserve">Siregar, D. (2021). *Financial Market Development in Indonesia: Policy and Practice*. Jakarta University Press.</w:t>
      </w:r>
      <w:r>
        <w:br/>
      </w:r>
      <w:r>
        <w:t xml:space="preserve">World Bank. (2023). *Indonesia Economic Prospects: Navigating Volatility*. Washington DC.</w:t>
      </w:r>
      <w:r>
        <w:br/>
      </w:r>
      <w:r>
        <w:t xml:space="preserve">OJK Regulation No. 41/POJK.04/2019 on ESG Integration in Capital Markets.</w:t>
      </w:r>
      <w:r>
        <w:br/>
      </w:r>
      <w:r>
        <w:t xml:space="preserve">BPS-Statistics Indonesia. (2024). *Annual Financial Sector Report*.</w:t>
      </w:r>
    </w:p>
    <w:bookmarkEnd w:id="28"/>
    <w:p>
      <w:pPr>
        <w:pStyle w:val="BodyText"/>
      </w:pPr>
      <w:r>
        <w:t xml:space="preserve">This research proposal is submitted to the Ministry of Finance Indonesia and Jakarta Stock Exchange for funding consideration under the National Financial Innovation Grant Program (No. FIN-INDO/2024/PRJ).</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Strategic Role of Financial Analysts in Indonesia Jakarta's Evolving Financial Landscape</dc:title>
  <dc:creator/>
  <dc:language>en</dc:language>
  <cp:keywords/>
  <dcterms:created xsi:type="dcterms:W3CDTF">2026-07-23T17:19:36Z</dcterms:created>
  <dcterms:modified xsi:type="dcterms:W3CDTF">2026-07-23T17:19:36Z</dcterms:modified>
</cp:coreProperties>
</file>

<file path=docProps/custom.xml><?xml version="1.0" encoding="utf-8"?>
<Properties xmlns="http://schemas.openxmlformats.org/officeDocument/2006/custom-properties" xmlns:vt="http://schemas.openxmlformats.org/officeDocument/2006/docPropsVTypes"/>
</file>