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a0844d64e68187c65fad9cd5ddca7bd8b2fce13"/>
    <w:p>
      <w:pPr>
        <w:pStyle w:val="Heading1"/>
      </w:pPr>
      <w:r>
        <w:t xml:space="preserve">Research Proposal: The Evolving Role of Financial Analysts in Kuala Lumpur, Malaysia</w:t>
      </w:r>
    </w:p>
    <w:bookmarkStart w:id="20" w:name="introduction"/>
    <w:p>
      <w:pPr>
        <w:pStyle w:val="Heading2"/>
      </w:pPr>
      <w:r>
        <w:t xml:space="preserve">1. Introduction</w:t>
      </w:r>
    </w:p>
    <w:p>
      <w:pPr>
        <w:pStyle w:val="FirstParagraph"/>
      </w:pPr>
      <w:r>
        <w:t xml:space="preserve">The dynamic economic landscape of Malaysia Kuala Lumpur demands sophisticated financial expertise to navigate regional and global market complexities. As Southeast Asia's premier financial hub, Kuala Lumpur serves as the nerve center for multinational corporations, burgeoning fintech startups, and ASEAN investment corridors. Within this high-stakes environment, the role of the Financial Analyst has transitioned from traditional number-crunching to strategic business catalysts. This Research Proposal examines how Financial Analysts in Malaysia Kuala Lumpur are adapting to technological disruption, regulatory shifts, and evolving investor expectations. The study addresses a critical gap in understanding how local talent development and industry practices align with international standards while addressing Malaysia's unique market nuances.</w:t>
      </w:r>
    </w:p>
    <w:bookmarkEnd w:id="20"/>
    <w:bookmarkStart w:id="21" w:name="problem-statement"/>
    <w:p>
      <w:pPr>
        <w:pStyle w:val="Heading2"/>
      </w:pPr>
      <w:r>
        <w:t xml:space="preserve">2. Problem Statement</w:t>
      </w:r>
    </w:p>
    <w:p>
      <w:pPr>
        <w:pStyle w:val="FirstParagraph"/>
      </w:pPr>
      <w:r>
        <w:t xml:space="preserve">Despite Kuala Lumpur's status as a leading financial center in ASEAN, Malaysian Financial Analysts face significant challenges including: (1) Rapid adoption of AI-driven analytics outpacing professional upskilling; (2) Regulatory fragmentation across Bursa Malaysia, Bank Negara Malaysia, and international frameworks; (3) A 40% skills gap identified by the Malaysian Institute of Economic Research between industry needs and academic curricula. Current literature predominantly focuses on Western markets or macroeconomic trends, neglecting the micro-dynamics of Financial Analysts operating within Malaysia Kuala Lumpur's specific cultural, regulatory, and technological ecosystem. This research directly addresses these gaps to provide actionable insights for policymakers, educational institutions, and financial firms in the region.</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requirements of Financial Analysts across key sectors (banking, corporate finance, asset management) in Kuala Lumpur.</w:t>
      </w:r>
    </w:p>
    <w:p>
      <w:pPr>
        <w:numPr>
          <w:ilvl w:val="0"/>
          <w:numId w:val="1001"/>
        </w:numPr>
        <w:pStyle w:val="Compact"/>
      </w:pPr>
      <w:r>
        <w:t xml:space="preserve">To evaluate the impact of digital transformation tools (AI/ML platforms, ESG analytics) on analyst workflows and decision quality within Malaysia's financial context.</w:t>
      </w:r>
    </w:p>
    <w:p>
      <w:pPr>
        <w:numPr>
          <w:ilvl w:val="0"/>
          <w:numId w:val="1001"/>
        </w:numPr>
        <w:pStyle w:val="Compact"/>
      </w:pPr>
      <w:r>
        <w:t xml:space="preserve">To assess the alignment between Financial Analyst training programs and market demands in Malaysia Kuala Lumpur.</w:t>
      </w:r>
    </w:p>
    <w:p>
      <w:pPr>
        <w:numPr>
          <w:ilvl w:val="0"/>
          <w:numId w:val="1001"/>
        </w:numPr>
        <w:pStyle w:val="Compact"/>
      </w:pPr>
      <w:r>
        <w:t xml:space="preserve">To develop a framework for enhancing professional standards that considers Southeast Asian regulatory landscapes and cultural business practices.</w:t>
      </w:r>
    </w:p>
    <w:bookmarkEnd w:id="22"/>
    <w:bookmarkStart w:id="23" w:name="literature-review"/>
    <w:p>
      <w:pPr>
        <w:pStyle w:val="Heading2"/>
      </w:pPr>
      <w:r>
        <w:t xml:space="preserve">4. Literature Review</w:t>
      </w:r>
    </w:p>
    <w:p>
      <w:pPr>
        <w:pStyle w:val="FirstParagraph"/>
      </w:pPr>
      <w:r>
        <w:t xml:space="preserve">Existing studies on Financial Analysts (e.g., Kothari &amp; Shroff, 2015; Tan et al., 2020) emphasize Western-centric competencies like discounted cash flow modeling but overlook Southeast Asian market idiosyncrasies. Research by the ASEAN Capital Markets Forum (2023) highlights Malaysia's ESG integration challenges as a critical differentiator for Financial Analysts operating in Kuala Lumpur. Meanwhile, Bank Negara Malaysia's 2022 FinTech Adoption Report indicates only 35% of Malaysian analysts regularly use AI tools—significantly below Singapore (68%) and Hong Kong (74%). This research bridges the gap by contextualizing global best practices within Malaysia Kuala Lumpur's regulatory sandbox environment and multicultural business culture, where relationship-driven decision-making remains paramount alongside data analytics.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numPr>
          <w:ilvl w:val="0"/>
          <w:numId w:val="1002"/>
        </w:numPr>
        <w:pStyle w:val="Compact"/>
      </w:pPr>
      <w:r>
        <w:t xml:space="preserve">Target: 300+ Financial Analysts across KL-based institutions (Bursa Malaysia-listed companies, local banks, international asset managers).</w:t>
      </w:r>
    </w:p>
    <w:p>
      <w:pPr>
        <w:numPr>
          <w:ilvl w:val="0"/>
          <w:numId w:val="1002"/>
        </w:numPr>
        <w:pStyle w:val="Compact"/>
      </w:pPr>
      <w:r>
        <w:t xml:space="preserve">Instruments: Structured questionnaire measuring skill proficiency (AI tools, ESG analysis), regulatory awareness, and strategic impact metrics.</w:t>
      </w:r>
    </w:p>
    <w:p>
      <w:pPr>
        <w:numPr>
          <w:ilvl w:val="0"/>
          <w:numId w:val="1002"/>
        </w:numPr>
        <w:pStyle w:val="Compact"/>
      </w:pPr>
      <w:r>
        <w:t xml:space="preserve">Sampling: Stratified random sampling by industry sector and seniority level to ensure representation of Malaysia's diverse financial ecosystem.</w:t>
      </w:r>
    </w:p>
    <w:bookmarkEnd w:id="24"/>
    <w:bookmarkStart w:id="25" w:name="phase-2-qualitative-analysis-months-7-14"/>
    <w:p>
      <w:pPr>
        <w:pStyle w:val="Heading3"/>
      </w:pPr>
      <w:r>
        <w:t xml:space="preserve">Phase 2: Qualitative Analysis (Months 7-14)</w:t>
      </w:r>
    </w:p>
    <w:p>
      <w:pPr>
        <w:numPr>
          <w:ilvl w:val="0"/>
          <w:numId w:val="1003"/>
        </w:numPr>
        <w:pStyle w:val="Compact"/>
      </w:pPr>
      <w:r>
        <w:t xml:space="preserve">Focus Groups: 6 sessions with senior Financial Analysts, regulators (Bank Negara Malaysia), and HR heads of leading KL firms.</w:t>
      </w:r>
    </w:p>
    <w:p>
      <w:pPr>
        <w:numPr>
          <w:ilvl w:val="0"/>
          <w:numId w:val="1003"/>
        </w:numPr>
        <w:pStyle w:val="Compact"/>
      </w:pPr>
      <w:r>
        <w:t xml:space="preserve">Key Informant Interviews: In-depth discussions with 20+ industry experts on skill gaps and future trends.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Data Integration: Triangulating survey results, qualitative insights, and Malaysia-specific regulatory documents.</w:t>
      </w:r>
    </w:p>
    <w:p>
      <w:pPr>
        <w:numPr>
          <w:ilvl w:val="0"/>
          <w:numId w:val="1004"/>
        </w:numPr>
        <w:pStyle w:val="Compact"/>
      </w:pPr>
      <w:r>
        <w:t xml:space="preserve">Output: A culturally attuned competency framework for Financial Analysts in Malaysia Kuala Lumpur, aligned with Bursa Malaysia's Sustainability Reporting Guidelines and ASEAN Capital Markets Plan.</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validated Skills Matrix identifying top 10 competencies required for Financial Analysts in Kuala Lumpur (e.g., multilingual ESG reporting, blockchain-based transaction analysis).</w:t>
      </w:r>
    </w:p>
    <w:p>
      <w:pPr>
        <w:numPr>
          <w:ilvl w:val="0"/>
          <w:numId w:val="1005"/>
        </w:numPr>
        <w:pStyle w:val="Compact"/>
      </w:pPr>
      <w:r>
        <w:t xml:space="preserve">Evidence-based recommendations for the Malaysian Financial Planning Association to revise certification curricula.</w:t>
      </w:r>
    </w:p>
    <w:p>
      <w:pPr>
        <w:numPr>
          <w:ilvl w:val="0"/>
          <w:numId w:val="1005"/>
        </w:numPr>
        <w:pStyle w:val="Compact"/>
      </w:pPr>
      <w:r>
        <w:t xml:space="preserve">Implementation guidelines for firms to integrate AI tools while preserving KL's relationship-centric business culture.</w:t>
      </w:r>
    </w:p>
    <w:p>
      <w:pPr>
        <w:numPr>
          <w:ilvl w:val="0"/>
          <w:numId w:val="1005"/>
        </w:numPr>
        <w:pStyle w:val="Compact"/>
      </w:pPr>
      <w:r>
        <w:t xml:space="preserve">A benchmarking report comparing Malaysia Kuala Lumpur's analyst practices against regional peers (Singapore, Bangkok).</w:t>
      </w:r>
    </w:p>
    <w:bookmarkEnd w:id="28"/>
    <w:bookmarkStart w:id="29" w:name="significance-of-the-study"/>
    <w:p>
      <w:pPr>
        <w:pStyle w:val="Heading2"/>
      </w:pPr>
      <w:r>
        <w:t xml:space="preserve">7. Significance of the Study</w:t>
      </w:r>
    </w:p>
    <w:p>
      <w:pPr>
        <w:pStyle w:val="FirstParagraph"/>
      </w:pPr>
      <w:r>
        <w:t xml:space="preserve">The findings will directly benefit multiple stakeholders in Malaysia Kuala Lumpur:</w:t>
      </w:r>
    </w:p>
    <w:p>
      <w:pPr>
        <w:numPr>
          <w:ilvl w:val="0"/>
          <w:numId w:val="1006"/>
        </w:numPr>
        <w:pStyle w:val="Compact"/>
      </w:pPr>
      <w:r>
        <w:rPr>
          <w:bCs/>
          <w:b/>
        </w:rPr>
        <w:t xml:space="preserve">Financial Institutions:</w:t>
      </w:r>
      <w:r>
        <w:t xml:space="preserve"> </w:t>
      </w:r>
      <w:r>
        <w:t xml:space="preserve">Optimized hiring strategies and training programs to address the 30% projected talent shortage in analytics roles by 2027 (Malaysia Digital Economy Corporation).</w:t>
      </w:r>
    </w:p>
    <w:p>
      <w:pPr>
        <w:numPr>
          <w:ilvl w:val="0"/>
          <w:numId w:val="1006"/>
        </w:numPr>
        <w:pStyle w:val="Compact"/>
      </w:pPr>
      <w:r>
        <w:rPr>
          <w:bCs/>
          <w:b/>
        </w:rPr>
        <w:t xml:space="preserve">Educational Bodies:</w:t>
      </w:r>
      <w:r>
        <w:t xml:space="preserve"> </w:t>
      </w:r>
      <w:r>
        <w:t xml:space="preserve">Curriculum reforms for universities like Universiti Malaya and Taylor’s University to align with industry needs, enhancing graduate employability.</w:t>
      </w:r>
    </w:p>
    <w:p>
      <w:pPr>
        <w:numPr>
          <w:ilvl w:val="0"/>
          <w:numId w:val="1006"/>
        </w:numPr>
        <w:pStyle w:val="Compact"/>
      </w:pPr>
      <w:r>
        <w:rPr>
          <w:bCs/>
          <w:b/>
        </w:rPr>
        <w:t xml:space="preserve">Regulators:</w:t>
      </w:r>
      <w:r>
        <w:t xml:space="preserve"> </w:t>
      </w:r>
      <w:r>
        <w:t xml:space="preserve">Evidence to refine Bank Negara Malaysia's Financial Technology Vision 2025, ensuring regulatory frameworks support analyst innovation without compromising market integrity.</w:t>
      </w:r>
    </w:p>
    <w:p>
      <w:pPr>
        <w:numPr>
          <w:ilvl w:val="0"/>
          <w:numId w:val="1006"/>
        </w:numPr>
        <w:pStyle w:val="Compact"/>
      </w:pPr>
      <w:r>
        <w:rPr>
          <w:bCs/>
          <w:b/>
        </w:rPr>
        <w:t xml:space="preserve">National Strategy:</w:t>
      </w:r>
      <w:r>
        <w:t xml:space="preserve"> </w:t>
      </w:r>
      <w:r>
        <w:t xml:space="preserve">Contribution to Malaysia's Vision 2030 by strengthening the financial services sector as a pillar of economic diversification beyond oil and palm commodities.</w:t>
      </w:r>
    </w:p>
    <w:p>
      <w:pPr>
        <w:pStyle w:val="FirstParagraph"/>
      </w:pPr>
      <w:r>
        <w:t xml:space="preserve">Crucially, this Research Proposal transcends academic exercise. By grounding findings in Kuala Lumpur's unique context—where Islamic finance constitutes 25% of the banking sector and Malay/English bilingualism is standard—it provides actionable intelligence for Malaysia to position itself as ASEAN's analytics leader. The study will also produce a digital toolkit (accessible via Bursa Malaysia's Investor Portal) with practical guides for Financial Analysts navigating Malaysia's hybrid financial ecosystem.</w:t>
      </w:r>
    </w:p>
    <w:bookmarkEnd w:id="29"/>
    <w:bookmarkStart w:id="30" w:name="timeline-ethical-considerations"/>
    <w:p>
      <w:pPr>
        <w:pStyle w:val="Heading2"/>
      </w:pPr>
      <w:r>
        <w:t xml:space="preserve">8. Timeline &amp; Ethical Considerations</w:t>
      </w:r>
    </w:p>
    <w:p>
      <w:pPr>
        <w:pStyle w:val="FirstParagraph"/>
      </w:pPr>
      <w:r>
        <w:t xml:space="preserve">Phase</w:t>
      </w:r>
    </w:p>
    <w:p>
      <w:pPr>
        <w:pStyle w:val="BodyText"/>
      </w:pPr>
      <w:r>
        <w:t xml:space="preserve">Timeline</w:t>
      </w:r>
    </w:p>
    <w:p>
      <w:pPr>
        <w:pStyle w:val="BodyText"/>
      </w:pPr>
      <w:r>
        <w:t xml:space="preserve">Ethical Safeguards</w:t>
      </w:r>
    </w:p>
    <w:p>
      <w:pPr>
        <w:pStyle w:val="BodyText"/>
      </w:pPr>
      <w:r>
        <w:t xml:space="preserve">Study Design &amp; Approvals</w:t>
      </w:r>
    </w:p>
    <w:p>
      <w:pPr>
        <w:pStyle w:val="BodyText"/>
      </w:pPr>
      <w:r>
        <w:t xml:space="preserve">Month 1-2</w:t>
      </w:r>
    </w:p>
    <w:p>
      <w:pPr>
        <w:pStyle w:val="BodyText"/>
      </w:pPr>
      <w:r>
        <w:t xml:space="preserve">Certification from Universiti Kebangsaan Malaysia Ethics Committee; anonymized data collection.</w:t>
      </w:r>
    </w:p>
    <w:p>
      <w:pPr>
        <w:pStyle w:val="BodyText"/>
      </w:pPr>
      <w:r>
        <w:t xml:space="preserve">Data Collection (Surveys)</w:t>
      </w:r>
    </w:p>
    <w:p>
      <w:pPr>
        <w:pStyle w:val="BodyText"/>
      </w:pPr>
      <w:r>
        <w:t xml:space="preserve">Month 3-6</w:t>
      </w:r>
    </w:p>
    <w:p>
      <w:pPr>
        <w:pStyle w:val="BodyText"/>
      </w:pPr>
      <w:r>
        <w:t xml:space="preserve">Explicit consent forms; GDPR-compliant data storage via KL-based secure servers.</w:t>
      </w:r>
    </w:p>
    <w:p>
      <w:pPr>
        <w:pStyle w:val="BodyText"/>
      </w:pPr>
      <w:r>
        <w:t xml:space="preserve">Data Analysis &amp; Validation</w:t>
      </w:r>
    </w:p>
    <w:p>
      <w:pPr>
        <w:pStyle w:val="BodyText"/>
      </w:pPr>
      <w:r>
        <w:t xml:space="preserve">Month 7-14</w:t>
      </w:r>
    </w:p>
    <w:p>
      <w:pPr>
        <w:pStyle w:val="BodyText"/>
      </w:pPr>
      <w:r>
        <w:br/>
      </w:r>
    </w:p>
    <w:bookmarkEnd w:id="30"/>
    <w:bookmarkStart w:id="31" w:name="conclusion"/>
    <w:p>
      <w:pPr>
        <w:pStyle w:val="Heading2"/>
      </w:pPr>
      <w:r>
        <w:t xml:space="preserve">9. Conclusion</w:t>
      </w:r>
    </w:p>
    <w:p>
      <w:pPr>
        <w:pStyle w:val="FirstParagraph"/>
      </w:pPr>
      <w:r>
        <w:t xml:space="preserve">The Financial Analyst in Malaysia Kuala Lumpur is no longer a passive data processor but a strategic architect of sustainable growth in ASEAN's most advanced financial market. This Research Proposal establishes the critical foundation for understanding how these professionals can drive Malaysia toward becoming a global analytics hub while respecting its cultural and regulatory identity. By centering the study on Kuala Lumpur's distinctive ecosystem, this research will generate transferable knowledge that positions Malaysia as a benchmark for emerging markets navigating financial innovation. The proposed framework will empower Financial Analysts to deliver not just accurate forecasts but culturally intelligent insights that fuel inclusive economic progress across Malaysia Kuala Lumpur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Kuala Lumpur, Malaysia</dc:title>
  <dc:creator/>
  <dc:language>en</dc:language>
  <cp:keywords/>
  <dcterms:created xsi:type="dcterms:W3CDTF">2026-07-23T10:14:35Z</dcterms:created>
  <dcterms:modified xsi:type="dcterms:W3CDTF">2026-07-23T10:14:35Z</dcterms:modified>
</cp:coreProperties>
</file>

<file path=docProps/custom.xml><?xml version="1.0" encoding="utf-8"?>
<Properties xmlns="http://schemas.openxmlformats.org/officeDocument/2006/custom-properties" xmlns:vt="http://schemas.openxmlformats.org/officeDocument/2006/docPropsVTypes"/>
</file>