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Moscow's</w:t>
      </w:r>
      <w:r>
        <w:t xml:space="preserve"> </w:t>
      </w:r>
      <w:r>
        <w:t xml:space="preserve">Post-Sanctions</w:t>
      </w:r>
      <w:r>
        <w:t xml:space="preserve"> </w:t>
      </w:r>
      <w:r>
        <w:t xml:space="preserve">Financial</w:t>
      </w:r>
      <w:r>
        <w:t xml:space="preserve"> </w:t>
      </w:r>
      <w:r>
        <w:t xml:space="preserve">Landscape</w:t>
      </w:r>
    </w:p>
    <w:bookmarkStart w:id="29" w:name="Xd4a9088fb0c66d3efeaa52099a948435d9899fd"/>
    <w:p>
      <w:pPr>
        <w:pStyle w:val="Heading1"/>
      </w:pPr>
      <w:r>
        <w:t xml:space="preserve">Research Proposal: The Evolving Role of Financial Analysts in Moscow's Post-Sanctions Financial Landscape</w:t>
      </w:r>
    </w:p>
    <w:bookmarkStart w:id="20" w:name="abstract"/>
    <w:p>
      <w:pPr>
        <w:pStyle w:val="Heading2"/>
      </w:pPr>
      <w:r>
        <w:t xml:space="preserve">Abstract</w:t>
      </w:r>
    </w:p>
    <w:p>
      <w:pPr>
        <w:pStyle w:val="FirstParagraph"/>
      </w:pPr>
      <w:r>
        <w:t xml:space="preserve">This Research Proposal outlines a critical investigation into the transformation of the Financial Analyst profession within Russia's Moscow financial hub following international sanctions. With Russia’s economic landscape fundamentally reshaped since 2022, this study aims to analyze how Financial Analysts operating in Moscow navigate regulatory shifts, currency volatility, and market fragmentation. The research will assess the impact of geopolitical constraints on analytical methodologies, skill requirements, and career trajectories of Financial Analysts in the world’s largest emerging market capital. Findings will provide actionable insights for global institutions, Russian financial firms, and academic curricula shaping future financial talent in Moscow.</w:t>
      </w:r>
    </w:p>
    <w:bookmarkEnd w:id="20"/>
    <w:bookmarkStart w:id="21" w:name="X2d0a058ec525ef54cce97de62fc1eecd6a14459"/>
    <w:p>
      <w:pPr>
        <w:pStyle w:val="Heading2"/>
      </w:pPr>
      <w:r>
        <w:t xml:space="preserve">1. Introduction: The Critical Context of Moscow</w:t>
      </w:r>
    </w:p>
    <w:p>
      <w:pPr>
        <w:pStyle w:val="FirstParagraph"/>
      </w:pPr>
      <w:r>
        <w:t xml:space="preserve">As Russia’s undisputed financial epicenter, Moscow remains the nerve center for Central Bank operations, the MOEX stock exchange (Moscow Exchange), and major banking institutions like Sberbank and Gazprombank. However, the imposition of comprehensive sanctions following geopolitical events has precipitated a seismic shift in market dynamics. This Research Proposal directly addresses an urgent gap: how Financial Analysts—formerly key conduits for international investment—are adapting their core functions within Moscow’s isolated yet resilient financial ecosystem. The role of the Financial Analyst today transcends traditional valuation; it now encompasses navigating currency controls, assessing domestic asset liquidity, and interpreting rapidly evolving regulatory frameworks under the Central Bank of Russia (CBR). This study is not merely academic but vital for stakeholders operating within or engaging with Russia’s Moscow financial sector.</w:t>
      </w:r>
    </w:p>
    <w:bookmarkEnd w:id="21"/>
    <w:bookmarkStart w:id="22" w:name="Xedfd86e58d302fea33985d80db83e200c77595d"/>
    <w:p>
      <w:pPr>
        <w:pStyle w:val="Heading2"/>
      </w:pPr>
      <w:r>
        <w:t xml:space="preserve">2. Problem Statement: The Transformation of Financial Analysis in Moscow</w:t>
      </w:r>
    </w:p>
    <w:p>
      <w:pPr>
        <w:pStyle w:val="FirstParagraph"/>
      </w:pPr>
      <w:r>
        <w:t xml:space="preserve">The sanctions regime has effectively severed Moscow’s integration with Western capital markets, forcing Financial Analysts to pivot from global benchmarking to hyper-localized analysis. Key challenges include:</w:t>
      </w:r>
    </w:p>
    <w:p>
      <w:pPr>
        <w:numPr>
          <w:ilvl w:val="0"/>
          <w:numId w:val="1001"/>
        </w:numPr>
        <w:pStyle w:val="Compact"/>
      </w:pPr>
      <w:r>
        <w:rPr>
          <w:bCs/>
          <w:b/>
        </w:rPr>
        <w:t xml:space="preserve">Data Scarcity:</w:t>
      </w:r>
      <w:r>
        <w:t xml:space="preserve"> </w:t>
      </w:r>
      <w:r>
        <w:t xml:space="preserve">Disruption of international data providers (e.g., Bloomberg Terminal access) necessitates reliance on domestic systems like the CBR’s open data portal, impacting analytical depth.</w:t>
      </w:r>
    </w:p>
    <w:p>
      <w:pPr>
        <w:numPr>
          <w:ilvl w:val="0"/>
          <w:numId w:val="1001"/>
        </w:numPr>
        <w:pStyle w:val="Compact"/>
      </w:pPr>
      <w:r>
        <w:rPr>
          <w:bCs/>
          <w:b/>
        </w:rPr>
        <w:t xml:space="preserve">Methodological Shifts:</w:t>
      </w:r>
      <w:r>
        <w:t xml:space="preserve"> </w:t>
      </w:r>
      <w:r>
        <w:t xml:space="preserve">Traditional valuation models based on USD-denominated metrics are less relevant; analysts now prioritize ruble-based cash flow projections and domestic sector resilience (e.g., energy, agriculture).</w:t>
      </w:r>
    </w:p>
    <w:p>
      <w:pPr>
        <w:numPr>
          <w:ilvl w:val="0"/>
          <w:numId w:val="1001"/>
        </w:numPr>
        <w:pStyle w:val="Compact"/>
      </w:pPr>
      <w:r>
        <w:rPr>
          <w:bCs/>
          <w:b/>
        </w:rPr>
        <w:t xml:space="preserve">Career Trajectory Disruption:</w:t>
      </w:r>
      <w:r>
        <w:t xml:space="preserve"> </w:t>
      </w:r>
      <w:r>
        <w:t xml:space="preserve">International certifications (CFA, FRM) face devaluation; Moscow firms increasingly seek analysts with expertise in CBR regulations and local market nuances.</w:t>
      </w:r>
    </w:p>
    <w:p>
      <w:pPr>
        <w:pStyle w:val="FirstParagraph"/>
      </w:pPr>
      <w:r>
        <w:t xml:space="preserve">This research directly confronts the absence of empirical studies examining these changes within Moscow’s unique environment, unlike existing literature focused on pre-sanction markets or Western contexts.</w:t>
      </w:r>
    </w:p>
    <w:bookmarkEnd w:id="22"/>
    <w:bookmarkStart w:id="23" w:name="research-objectives"/>
    <w:p>
      <w:pPr>
        <w:pStyle w:val="Heading2"/>
      </w:pPr>
      <w:r>
        <w:t xml:space="preserve">3. Research Objectives</w:t>
      </w:r>
    </w:p>
    <w:p>
      <w:pPr>
        <w:pStyle w:val="FirstParagraph"/>
      </w:pPr>
      <w:r>
        <w:t xml:space="preserve">This project will achieve three core objectives specifically tailored to Russia Moscow:</w:t>
      </w:r>
    </w:p>
    <w:p>
      <w:pPr>
        <w:numPr>
          <w:ilvl w:val="0"/>
          <w:numId w:val="1002"/>
        </w:numPr>
        <w:pStyle w:val="Compact"/>
      </w:pPr>
      <w:r>
        <w:rPr>
          <w:bCs/>
          <w:b/>
        </w:rPr>
        <w:t xml:space="preserve">Map Methodological Adaptations:</w:t>
      </w:r>
      <w:r>
        <w:t xml:space="preserve"> </w:t>
      </w:r>
      <w:r>
        <w:t xml:space="preserve">Document how Moscow-based Financial Analysts modify analytical frameworks (e.g., DCF models, risk assessment) in response to sanctions-induced market isolation.</w:t>
      </w:r>
    </w:p>
    <w:p>
      <w:pPr>
        <w:numPr>
          <w:ilvl w:val="0"/>
          <w:numId w:val="1002"/>
        </w:numPr>
        <w:pStyle w:val="Compact"/>
      </w:pPr>
      <w:r>
        <w:rPr>
          <w:bCs/>
          <w:b/>
        </w:rPr>
        <w:t xml:space="preserve">Evaluate Skill Demand Shifts:</w:t>
      </w:r>
      <w:r>
        <w:t xml:space="preserve"> </w:t>
      </w:r>
      <w:r>
        <w:t xml:space="preserve">Quantify the evolving skill requirements for Financial Analysts through surveys of top Moscow financial institutions (MOEX-listed firms, investment banks, asset managers).</w:t>
      </w:r>
    </w:p>
    <w:p>
      <w:pPr>
        <w:numPr>
          <w:ilvl w:val="0"/>
          <w:numId w:val="1002"/>
        </w:numPr>
        <w:pStyle w:val="Compact"/>
      </w:pPr>
      <w:r>
        <w:rPr>
          <w:bCs/>
          <w:b/>
        </w:rPr>
        <w:t xml:space="preserve">Assess Career Implications:</w:t>
      </w:r>
      <w:r>
        <w:t xml:space="preserve"> </w:t>
      </w:r>
      <w:r>
        <w:t xml:space="preserve">Analyze how sanctions impact career progression, compensation structures, and professional development opportunities for Financial Analysts in Russia’s capital.</w:t>
      </w:r>
    </w:p>
    <w:bookmarkEnd w:id="23"/>
    <w:bookmarkStart w:id="24" w:name="X2a26f48236c924f9eb7a7d7cbc4f13ac5249b24"/>
    <w:p>
      <w:pPr>
        <w:pStyle w:val="Heading2"/>
      </w:pPr>
      <w:r>
        <w:t xml:space="preserve">4. Literature Review: Gaps in the Current Context</w:t>
      </w:r>
    </w:p>
    <w:p>
      <w:pPr>
        <w:pStyle w:val="FirstParagraph"/>
      </w:pPr>
      <w:r>
        <w:t xml:space="preserve">Existing scholarship on Financial Analysts predominantly focuses on mature markets (e.g., US, EU) or pre-sanction emerging economies. Key gaps include:</w:t>
      </w:r>
    </w:p>
    <w:p>
      <w:pPr>
        <w:numPr>
          <w:ilvl w:val="0"/>
          <w:numId w:val="1003"/>
        </w:numPr>
        <w:pStyle w:val="Compact"/>
      </w:pPr>
      <w:r>
        <w:t xml:space="preserve">No studies address the operational realities of Financial Analysts within a market explicitly severed from global capital flows.</w:t>
      </w:r>
    </w:p>
    <w:p>
      <w:pPr>
        <w:numPr>
          <w:ilvl w:val="0"/>
          <w:numId w:val="1003"/>
        </w:numPr>
        <w:pStyle w:val="Compact"/>
      </w:pPr>
      <w:r>
        <w:t xml:space="preserve">Literature on Russian finance often emphasizes macroeconomic policy without dissecting the micro-level work of Financial Analysts (e.g., Kuznetsov &amp; Petrov, 2019 focused on CBR policy, not analyst practice).</w:t>
      </w:r>
    </w:p>
    <w:p>
      <w:pPr>
        <w:numPr>
          <w:ilvl w:val="0"/>
          <w:numId w:val="1003"/>
        </w:numPr>
        <w:pStyle w:val="Compact"/>
      </w:pPr>
      <w:r>
        <w:t xml:space="preserve">Post-2022 research remains anecdotal; this study provides the first systematic analysis of Moscow’s Financial Analyst ecosystem.</w:t>
      </w:r>
    </w:p>
    <w:p>
      <w:pPr>
        <w:pStyle w:val="FirstParagraph"/>
      </w:pPr>
      <w:r>
        <w:t xml:space="preserve">This Research Proposal bridges this critical gap by centering on Moscow as the sole operational hub for Russia’s financial analysis profession during its most transformative period.</w:t>
      </w:r>
    </w:p>
    <w:bookmarkEnd w:id="24"/>
    <w:bookmarkStart w:id="25" w:name="methodology-focused-on-russia-moscow"/>
    <w:p>
      <w:pPr>
        <w:pStyle w:val="Heading2"/>
      </w:pPr>
      <w:r>
        <w:t xml:space="preserve">5. Methodology: Focused on Russia Moscow</w:t>
      </w:r>
    </w:p>
    <w:p>
      <w:pPr>
        <w:pStyle w:val="FirstParagraph"/>
      </w:pPr>
      <w:r>
        <w:t xml:space="preserve">The research employs a mixed-methods approach designed for the Moscow context:</w:t>
      </w:r>
    </w:p>
    <w:p>
      <w:pPr>
        <w:numPr>
          <w:ilvl w:val="0"/>
          <w:numId w:val="1004"/>
        </w:numPr>
        <w:pStyle w:val="Compact"/>
      </w:pPr>
      <w:r>
        <w:rPr>
          <w:bCs/>
          <w:b/>
        </w:rPr>
        <w:t xml:space="preserve">Qualitative Phase (4 months):</w:t>
      </w:r>
      <w:r>
        <w:t xml:space="preserve"> </w:t>
      </w:r>
      <w:r>
        <w:t xml:space="preserve">In-depth interviews (n=30) with senior Financial Analysts at key Moscow institutions (e.g., VTB Capital, Alfa-Bank Research, major asset managers), focusing on daily analytical challenges and adaptation strategies.</w:t>
      </w:r>
    </w:p>
    <w:p>
      <w:pPr>
        <w:numPr>
          <w:ilvl w:val="0"/>
          <w:numId w:val="1004"/>
        </w:numPr>
        <w:pStyle w:val="Compact"/>
      </w:pPr>
      <w:r>
        <w:rPr>
          <w:bCs/>
          <w:b/>
        </w:rPr>
        <w:t xml:space="preserve">Quantitative Phase (2 months):</w:t>
      </w:r>
      <w:r>
        <w:t xml:space="preserve"> </w:t>
      </w:r>
      <w:r>
        <w:t xml:space="preserve">Structured online survey distributed to 500+ Financial Analysts registered with the Russian Financial Analyst Association (RFAA) based in Moscow, measuring skill demand shifts and career metrics.</w:t>
      </w:r>
    </w:p>
    <w:p>
      <w:pPr>
        <w:numPr>
          <w:ilvl w:val="0"/>
          <w:numId w:val="1004"/>
        </w:numPr>
        <w:pStyle w:val="Compact"/>
      </w:pPr>
      <w:r>
        <w:rPr>
          <w:bCs/>
          <w:b/>
        </w:rPr>
        <w:t xml:space="preserve">Data Triangulation:</w:t>
      </w:r>
      <w:r>
        <w:t xml:space="preserve"> </w:t>
      </w:r>
      <w:r>
        <w:t xml:space="preserve">Cross-referencing findings with CBR regulatory updates (e.g., 2023 currency control directives), MOEX market data, and firm-level financial reports to contextualize analyst work.</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four significant contributions specific to Moscow:</w:t>
      </w:r>
    </w:p>
    <w:p>
      <w:pPr>
        <w:numPr>
          <w:ilvl w:val="0"/>
          <w:numId w:val="1005"/>
        </w:numPr>
        <w:pStyle w:val="Compact"/>
      </w:pPr>
      <w:r>
        <w:rPr>
          <w:bCs/>
          <w:b/>
        </w:rPr>
        <w:t xml:space="preserve">Practical Framework:</w:t>
      </w:r>
      <w:r>
        <w:t xml:space="preserve"> </w:t>
      </w:r>
      <w:r>
        <w:t xml:space="preserve">A validated analytical toolkit for Financial Analysts operating under sanctions, including revised valuation templates and data sourcing protocols for Moscow’s market.</w:t>
      </w:r>
    </w:p>
    <w:p>
      <w:pPr>
        <w:numPr>
          <w:ilvl w:val="0"/>
          <w:numId w:val="1005"/>
        </w:numPr>
        <w:pStyle w:val="Compact"/>
      </w:pPr>
      <w:r>
        <w:rPr>
          <w:bCs/>
          <w:b/>
        </w:rPr>
        <w:t xml:space="preserve">Policy Insights:</w:t>
      </w:r>
      <w:r>
        <w:t xml:space="preserve"> </w:t>
      </w:r>
      <w:r>
        <w:t xml:space="preserve">Evidence-based recommendations for the CBR on harmonizing regulatory reporting to improve analyst efficiency in Moscow’s domestic market.</w:t>
      </w:r>
    </w:p>
    <w:p>
      <w:pPr>
        <w:numPr>
          <w:ilvl w:val="0"/>
          <w:numId w:val="1005"/>
        </w:numPr>
        <w:pStyle w:val="Compact"/>
      </w:pPr>
      <w:r>
        <w:rPr>
          <w:bCs/>
          <w:b/>
        </w:rPr>
        <w:t xml:space="preserve">Talent Development Blueprint:</w:t>
      </w:r>
      <w:r>
        <w:t xml:space="preserve"> </w:t>
      </w:r>
      <w:r>
        <w:t xml:space="preserve">A skills matrix aligning Financial Analyst training programs (universities, RFAA) with current Moscow market demands.</w:t>
      </w:r>
    </w:p>
    <w:p>
      <w:pPr>
        <w:numPr>
          <w:ilvl w:val="0"/>
          <w:numId w:val="1005"/>
        </w:numPr>
        <w:pStyle w:val="Compact"/>
      </w:pPr>
      <w:r>
        <w:rPr>
          <w:bCs/>
          <w:b/>
        </w:rPr>
        <w:t xml:space="preserve">Global Benchmark:</w:t>
      </w:r>
      <w:r>
        <w:t xml:space="preserve"> </w:t>
      </w:r>
      <w:r>
        <w:t xml:space="preserve">A comparative study showing how Moscow’s adaptation informs financial analysis in other isolated markets (e.g., Iran, Venezuela).</w:t>
      </w:r>
    </w:p>
    <w:p>
      <w:pPr>
        <w:pStyle w:val="FirstParagraph"/>
      </w:pPr>
      <w:r>
        <w:t xml:space="preserve">The significance extends beyond academia: Global firms considering limited engagement with Moscow need this data to assess risk; Russian firms require it to retain talent; and policymakers must understand the professional ecosystem they are reshaping.</w:t>
      </w:r>
    </w:p>
    <w:bookmarkEnd w:id="26"/>
    <w:bookmarkStart w:id="27" w:name="timeline-budget"/>
    <w:p>
      <w:pPr>
        <w:pStyle w:val="Heading2"/>
      </w:pPr>
      <w:r>
        <w:t xml:space="preserve">7. Timeline &amp; Budget</w:t>
      </w:r>
    </w:p>
    <w:p>
      <w:pPr>
        <w:pStyle w:val="FirstParagraph"/>
      </w:pPr>
      <w:r>
        <w:t xml:space="preserve">Conducted over 10 months, the project will allocate resources specifically for Moscow operations:</w:t>
      </w:r>
    </w:p>
    <w:p>
      <w:pPr>
        <w:numPr>
          <w:ilvl w:val="0"/>
          <w:numId w:val="1006"/>
        </w:numPr>
        <w:pStyle w:val="Compact"/>
      </w:pPr>
      <w:r>
        <w:rPr>
          <w:bCs/>
          <w:b/>
        </w:rPr>
        <w:t xml:space="preserve">Months 1-2:</w:t>
      </w:r>
      <w:r>
        <w:t xml:space="preserve"> </w:t>
      </w:r>
      <w:r>
        <w:t xml:space="preserve">Ethics approval (Moscow-based university), survey design, institutional partnerships (CBR liaison).</w:t>
      </w:r>
    </w:p>
    <w:p>
      <w:pPr>
        <w:numPr>
          <w:ilvl w:val="0"/>
          <w:numId w:val="1006"/>
        </w:numPr>
        <w:pStyle w:val="Compact"/>
      </w:pPr>
      <w:r>
        <w:rPr>
          <w:bCs/>
          <w:b/>
        </w:rPr>
        <w:t xml:space="preserve">Months 3-6:</w:t>
      </w:r>
      <w:r>
        <w:t xml:space="preserve"> </w:t>
      </w:r>
      <w:r>
        <w:t xml:space="preserve">Data collection via interviews/surveys across Moscow offices; translation of Russian-language data.</w:t>
      </w:r>
    </w:p>
    <w:p>
      <w:pPr>
        <w:numPr>
          <w:ilvl w:val="0"/>
          <w:numId w:val="1006"/>
        </w:numPr>
        <w:pStyle w:val="Compact"/>
      </w:pPr>
      <w:r>
        <w:rPr>
          <w:bCs/>
          <w:b/>
        </w:rPr>
        <w:t xml:space="preserve">Months 7-9:</w:t>
      </w:r>
      <w:r>
        <w:t xml:space="preserve"> </w:t>
      </w:r>
      <w:r>
        <w:t xml:space="preserve">Analysis using NVivo (qualitative) and SPSS (quantitative); draft report.</w:t>
      </w:r>
    </w:p>
    <w:p>
      <w:pPr>
        <w:numPr>
          <w:ilvl w:val="0"/>
          <w:numId w:val="1006"/>
        </w:numPr>
        <w:pStyle w:val="Compact"/>
      </w:pPr>
      <w:r>
        <w:rPr>
          <w:bCs/>
          <w:b/>
        </w:rPr>
        <w:t xml:space="preserve">Month 10:</w:t>
      </w:r>
      <w:r>
        <w:t xml:space="preserve"> </w:t>
      </w:r>
      <w:r>
        <w:t xml:space="preserve">Final report, stakeholder workshop in Moscow, publication.</w:t>
      </w:r>
    </w:p>
    <w:bookmarkEnd w:id="27"/>
    <w:bookmarkStart w:id="28" w:name="conclusion"/>
    <w:p>
      <w:pPr>
        <w:pStyle w:val="Heading2"/>
      </w:pPr>
      <w:r>
        <w:t xml:space="preserve">8. Conclusion</w:t>
      </w:r>
    </w:p>
    <w:p>
      <w:pPr>
        <w:pStyle w:val="FirstParagraph"/>
      </w:pPr>
      <w:r>
        <w:t xml:space="preserve">The role of the Financial Analyst in Russia Moscow has evolved from a global investment arbiter to a domestic market navigator—a transformation this Research Proposal will rigorously document. Ignoring this shift risks perpetuating outdated models for financial decision-making in one of the world’s most significant emerging economies. By centering on Moscow as the sole operational hub, this study delivers urgent, context-specific knowledge that empowers Financial Analysts to thrive amid unprecedented challenges and informs strategic choices for all stakeholders within Russia’s financial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Moscow's Post-Sanctions Financial Landscape</dc:title>
  <dc:creator/>
  <dc:language>en</dc:language>
  <cp:keywords/>
  <dcterms:created xsi:type="dcterms:W3CDTF">2026-07-21T07:33:02Z</dcterms:created>
  <dcterms:modified xsi:type="dcterms:W3CDTF">2026-07-21T07:33:02Z</dcterms:modified>
</cp:coreProperties>
</file>

<file path=docProps/custom.xml><?xml version="1.0" encoding="utf-8"?>
<Properties xmlns="http://schemas.openxmlformats.org/officeDocument/2006/custom-properties" xmlns:vt="http://schemas.openxmlformats.org/officeDocument/2006/docPropsVTypes"/>
</file>