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Abu</w:t>
      </w:r>
      <w:r>
        <w:t xml:space="preserve"> </w:t>
      </w:r>
      <w:r>
        <w:t xml:space="preserve">Dhabi's</w:t>
      </w:r>
      <w:r>
        <w:t xml:space="preserve"> </w:t>
      </w:r>
      <w:r>
        <w:t xml:space="preserve">Economic</w:t>
      </w:r>
      <w:r>
        <w:t xml:space="preserve"> </w:t>
      </w:r>
      <w:r>
        <w:t xml:space="preserve">Landscape</w:t>
      </w:r>
    </w:p>
    <w:bookmarkStart w:id="28" w:name="X5b622cf1259836c3423d70260e90c6c564f5c7f"/>
    <w:p>
      <w:pPr>
        <w:pStyle w:val="Heading1"/>
      </w:pPr>
      <w:r>
        <w:t xml:space="preserve">Research Proposal: Strategic Evolution of the Financial Analyst Role in Abu Dhabi's Dynamic Economic Ecosystem</w:t>
      </w:r>
    </w:p>
    <w:bookmarkStart w:id="20" w:name="introduction-and-contextual-significance"/>
    <w:p>
      <w:pPr>
        <w:pStyle w:val="Heading2"/>
      </w:pPr>
      <w:r>
        <w:t xml:space="preserve">1. Introduction and Contextual Significance</w:t>
      </w:r>
    </w:p>
    <w:p>
      <w:pPr>
        <w:pStyle w:val="FirstParagraph"/>
      </w:pPr>
      <w:r>
        <w:t xml:space="preserve">The United Arab Emirates (UAE), particularly Abu Dhabi, has emerged as a pivotal global financial hub with its strategic vision for economic diversification beyond hydrocarbons. As the capital of the UAE and home to key institutions like the Abu Dhabi Investment Authority (ADIA) and the Central Bank of the UAE, Abu Dhabi represents a critical nexus for regional finance. Within this rapidly evolving landscape, the</w:t>
      </w:r>
      <w:r>
        <w:t xml:space="preserve"> </w:t>
      </w:r>
      <w:r>
        <w:rPr>
          <w:bCs/>
          <w:b/>
        </w:rPr>
        <w:t xml:space="preserve">Financial Analyst</w:t>
      </w:r>
      <w:r>
        <w:t xml:space="preserve"> </w:t>
      </w:r>
      <w:r>
        <w:t xml:space="preserve">has transitioned from a traditional reporting role to a strategic business partner driving data-informed decisions. This research proposal addresses an urgent need to comprehensively analyze and future-proof the</w:t>
      </w:r>
      <w:r>
        <w:t xml:space="preserve"> </w:t>
      </w:r>
      <w:r>
        <w:rPr>
          <w:bCs/>
          <w:b/>
        </w:rPr>
        <w:t xml:space="preserve">Financial Analyst</w:t>
      </w:r>
      <w:r>
        <w:t xml:space="preserve">'s competencies, responsibilities, and impact within Abu Dhabi's unique economic context. The UAE's Vision 2030 initiatives, including Abu Dhabi Economic Vision 2030, place financial expertise at the core of sustainable growth objectives. This study directly aligns with national priorities by investigating how</w:t>
      </w:r>
      <w:r>
        <w:t xml:space="preserve"> </w:t>
      </w:r>
      <w:r>
        <w:rPr>
          <w:bCs/>
          <w:b/>
        </w:rPr>
        <w:t xml:space="preserve">Financial Analyst</w:t>
      </w:r>
      <w:r>
        <w:t xml:space="preserve"> </w:t>
      </w:r>
      <w:r>
        <w:t xml:space="preserve">functions can be optimized to support Abu Dhabi's ambition as a global fintech and investment destination.</w:t>
      </w:r>
    </w:p>
    <w:bookmarkEnd w:id="20"/>
    <w:bookmarkStart w:id="21" w:name="X37e72463047c72551338ad3a2c7d68d64c46e91"/>
    <w:p>
      <w:pPr>
        <w:pStyle w:val="Heading2"/>
      </w:pPr>
      <w:r>
        <w:t xml:space="preserve">2. Problem Statement: Critical Gaps in Current Practice</w:t>
      </w:r>
    </w:p>
    <w:p>
      <w:pPr>
        <w:pStyle w:val="FirstParagraph"/>
      </w:pPr>
      <w:r>
        <w:t xml:space="preserve">Despite Abu Dhabi's rapid financial sector expansion, significant gaps persist in the professional development and strategic integration of</w:t>
      </w:r>
      <w:r>
        <w:t xml:space="preserve"> </w:t>
      </w:r>
      <w:r>
        <w:rPr>
          <w:bCs/>
          <w:b/>
        </w:rPr>
        <w:t xml:space="preserve">Financial Analyst</w:t>
      </w:r>
      <w:r>
        <w:t xml:space="preserve">s. Current industry practices often focus on historical data reporting rather than predictive analytics and strategic foresight—critical capabilities for Abu Dhabi's diversification goals. A recent UAE Central Bank survey (2023) revealed that 68% of financial institutions in Abu Dhabi operate with outdated analytical frameworks, hindering their ability to capitalize on emerging opportunities in renewable energy, fintech, and sovereign wealth management. Furthermore, the rapid adoption of AI-driven tools (e.g., automated forecasting models) has outpaced professional upskilling initiatives. This research directly addresses these gaps by examining how</w:t>
      </w:r>
      <w:r>
        <w:t xml:space="preserve"> </w:t>
      </w:r>
      <w:r>
        <w:rPr>
          <w:bCs/>
          <w:b/>
        </w:rPr>
        <w:t xml:space="preserve">Financial Analyst</w:t>
      </w:r>
      <w:r>
        <w:t xml:space="preserve">s can evolve from data processors to strategic value generators within Abu Dhabi's specific regulatory and economic environment.</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 of the Financial Analyst across key Abu Dhabi sectors: banking (including ADIA), government entities (e.g., Mubadala, ADQ), and emerging fintech startups.</w:t>
      </w:r>
    </w:p>
    <w:p>
      <w:pPr>
        <w:numPr>
          <w:ilvl w:val="0"/>
          <w:numId w:val="1001"/>
        </w:numPr>
        <w:pStyle w:val="Compact"/>
      </w:pPr>
      <w:r>
        <w:t xml:space="preserve">To identify critical competency gaps between current practice and strategic requirements for Abu Dhabi's economic vision, focusing on AI literacy, ESG integration, and cross-cultural financial analysis.</w:t>
      </w:r>
    </w:p>
    <w:p>
      <w:pPr>
        <w:numPr>
          <w:ilvl w:val="0"/>
          <w:numId w:val="1001"/>
        </w:numPr>
        <w:pStyle w:val="Compact"/>
      </w:pPr>
      <w:r>
        <w:t xml:space="preserve">To develop a tailored competency framework for Financial Analysts that aligns with UAE regulatory standards (e.g., Central Bank of UAE guidelines) and Abu Dhabi's unique market dynamics.</w:t>
      </w:r>
    </w:p>
    <w:p>
      <w:pPr>
        <w:numPr>
          <w:ilvl w:val="0"/>
          <w:numId w:val="1001"/>
        </w:numPr>
        <w:pStyle w:val="Compact"/>
      </w:pPr>
      <w:r>
        <w:t xml:space="preserve">To propose a scalable professional development model to bridge identified gaps, considering Abu Dhabi's cultural context and national talent strategy initiatives.</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study employs an action-research approach deeply embedded within the Abu Dhabi ecosystem:</w:t>
      </w:r>
    </w:p>
    <w:p>
      <w:pPr>
        <w:numPr>
          <w:ilvl w:val="0"/>
          <w:numId w:val="1002"/>
        </w:numPr>
        <w:pStyle w:val="Compact"/>
      </w:pPr>
      <w:r>
        <w:rPr>
          <w:bCs/>
          <w:b/>
        </w:rPr>
        <w:t xml:space="preserve">Phase 1: Industry Immersion (Months 1-3)</w:t>
      </w:r>
      <w:r>
        <w:t xml:space="preserve"> </w:t>
      </w:r>
      <w:r>
        <w:t xml:space="preserve">– Conduct in-depth interviews with 40+ senior finance leaders across ADIA, Abu Dhabi Commercial Bank, Mubadala Investment Company, and leading fintech firms to document current practice challenges.</w:t>
      </w:r>
    </w:p>
    <w:p>
      <w:pPr>
        <w:numPr>
          <w:ilvl w:val="0"/>
          <w:numId w:val="1002"/>
        </w:numPr>
        <w:pStyle w:val="Compact"/>
      </w:pPr>
      <w:r>
        <w:rPr>
          <w:bCs/>
          <w:b/>
        </w:rPr>
        <w:t xml:space="preserve">Phase 2: Competency Benchmarking (Months 4-6)</w:t>
      </w:r>
      <w:r>
        <w:t xml:space="preserve"> </w:t>
      </w:r>
      <w:r>
        <w:t xml:space="preserve">– Analyze UAE Central Bank frameworks, international best practices (CFA Institute standards), and Abu Dhabi-specific regulatory documents to establish baseline competencies.</w:t>
      </w:r>
    </w:p>
    <w:p>
      <w:pPr>
        <w:numPr>
          <w:ilvl w:val="0"/>
          <w:numId w:val="1002"/>
        </w:numPr>
        <w:pStyle w:val="Compact"/>
      </w:pPr>
      <w:r>
        <w:rPr>
          <w:bCs/>
          <w:b/>
        </w:rPr>
        <w:t xml:space="preserve">Phase 3: Gap Analysis &amp; Framework Development (Months 7-9)</w:t>
      </w:r>
      <w:r>
        <w:t xml:space="preserve"> </w:t>
      </w:r>
      <w:r>
        <w:t xml:space="preserve">– Use quantitative surveys targeting 200 Financial Analysts in Abu Dhabi to measure competency alignment. Triangulate findings with sector-specific use cases (e.g., analyzing renewable energy project financing).</w:t>
      </w:r>
    </w:p>
    <w:p>
      <w:pPr>
        <w:numPr>
          <w:ilvl w:val="0"/>
          <w:numId w:val="1002"/>
        </w:numPr>
        <w:pStyle w:val="Compact"/>
      </w:pPr>
      <w:r>
        <w:rPr>
          <w:bCs/>
          <w:b/>
        </w:rPr>
        <w:t xml:space="preserve">Phase 4: Stakeholder Co-Creation Workshop (Month 10)</w:t>
      </w:r>
      <w:r>
        <w:t xml:space="preserve"> </w:t>
      </w:r>
      <w:r>
        <w:t xml:space="preserve">– Facilitate workshops with Abu Dhabi Department of Economic Development, Higher Colleges of Technology, and industry associations to validate the proposed competency model.</w:t>
      </w:r>
    </w:p>
    <w:bookmarkEnd w:id="23"/>
    <w:bookmarkStart w:id="24" w:name="X3ee0d59ee1670824ff1ab883517762e5e19dc28"/>
    <w:p>
      <w:pPr>
        <w:pStyle w:val="Heading2"/>
      </w:pPr>
      <w:r>
        <w:t xml:space="preserve">5. Significance for United Arab Emirates Abu Dhabi</w:t>
      </w:r>
    </w:p>
    <w:p>
      <w:pPr>
        <w:pStyle w:val="FirstParagraph"/>
      </w:pPr>
      <w:r>
        <w:t xml:space="preserve">This research directly contributes to Abu Dhabi's strategic objectives in three transformative ways:</w:t>
      </w:r>
    </w:p>
    <w:p>
      <w:pPr>
        <w:numPr>
          <w:ilvl w:val="0"/>
          <w:numId w:val="1003"/>
        </w:numPr>
        <w:pStyle w:val="Compact"/>
      </w:pPr>
      <w:r>
        <w:rPr>
          <w:bCs/>
          <w:b/>
        </w:rPr>
        <w:t xml:space="preserve">Accelerating Economic Diversification:</w:t>
      </w:r>
      <w:r>
        <w:t xml:space="preserve"> </w:t>
      </w:r>
      <w:r>
        <w:t xml:space="preserve">By aligning Financial Analyst capabilities with non-oil sectors (tourism, tech, renewable energy), this study provides actionable insights to optimize investment decisions for Abu Dhabi's sovereign wealth funds and government entities.</w:t>
      </w:r>
    </w:p>
    <w:p>
      <w:pPr>
        <w:numPr>
          <w:ilvl w:val="0"/>
          <w:numId w:val="1003"/>
        </w:numPr>
        <w:pStyle w:val="Compact"/>
      </w:pPr>
      <w:r>
        <w:rPr>
          <w:bCs/>
          <w:b/>
        </w:rPr>
        <w:t xml:space="preserve">Talent Localization Strategy:</w:t>
      </w:r>
      <w:r>
        <w:t xml:space="preserve"> </w:t>
      </w:r>
      <w:r>
        <w:t xml:space="preserve">The proposed competency framework integrates UAE national values while addressing global standards, supporting the UAE National Talent Strategy 2031 and Abu Dhabi's goal of increasing Emirati professionals in high-value finance roles by 45% by 2027.</w:t>
      </w:r>
    </w:p>
    <w:p>
      <w:pPr>
        <w:numPr>
          <w:ilvl w:val="0"/>
          <w:numId w:val="1003"/>
        </w:numPr>
        <w:pStyle w:val="Compact"/>
      </w:pPr>
      <w:r>
        <w:rPr>
          <w:bCs/>
          <w:b/>
        </w:rPr>
        <w:t xml:space="preserve">Enhancing Regional Competitiveness:</w:t>
      </w:r>
      <w:r>
        <w:t xml:space="preserve"> </w:t>
      </w:r>
      <w:r>
        <w:t xml:space="preserve">The research will position Abu Dhabi as a benchmark for financial innovation in the Gulf, attracting international firms seeking expertise aligned with both global best practices and regional context (e.g., Islamic finance integration, GCC regulatory harmonization).</w:t>
      </w:r>
    </w:p>
    <w:bookmarkEnd w:id="24"/>
    <w:bookmarkStart w:id="25" w:name="expected-outcomes-and-deliverables"/>
    <w:p>
      <w:pPr>
        <w:pStyle w:val="Heading2"/>
      </w:pPr>
      <w:r>
        <w:t xml:space="preserve">6. Expected Outcomes and Deliverables</w:t>
      </w:r>
    </w:p>
    <w:p>
      <w:pPr>
        <w:pStyle w:val="FirstParagraph"/>
      </w:pPr>
      <w:r>
        <w:t xml:space="preserve">The project will produce three critical assets for Abu Dhabi's financial ecosystem:</w:t>
      </w:r>
    </w:p>
    <w:p>
      <w:pPr>
        <w:numPr>
          <w:ilvl w:val="0"/>
          <w:numId w:val="1004"/>
        </w:numPr>
        <w:pStyle w:val="Compact"/>
      </w:pPr>
      <w:r>
        <w:rPr>
          <w:bCs/>
          <w:b/>
        </w:rPr>
        <w:t xml:space="preserve">A Comprehensive Competency Framework Document:</w:t>
      </w:r>
      <w:r>
        <w:t xml:space="preserve"> </w:t>
      </w:r>
      <w:r>
        <w:t xml:space="preserve">A structured guide defining 15+ core competencies (e.g., AI-driven scenario modeling, Sharia-compliant ESG analysis) specific to Abu Dhabi's market, validated by industry leaders.</w:t>
      </w:r>
    </w:p>
    <w:p>
      <w:pPr>
        <w:numPr>
          <w:ilvl w:val="0"/>
          <w:numId w:val="1004"/>
        </w:numPr>
        <w:pStyle w:val="Compact"/>
      </w:pPr>
      <w:r>
        <w:rPr>
          <w:bCs/>
          <w:b/>
        </w:rPr>
        <w:t xml:space="preserve">Professional Development Blueprint:</w:t>
      </w:r>
      <w:r>
        <w:t xml:space="preserve"> </w:t>
      </w:r>
      <w:r>
        <w:t xml:space="preserve">A scalable training model for universities (e.g., Khalifa University), institutions (e.g., Abu Dhabi Global Market Academy), and corporations—incorporating Arabic-English bilingual resources and UAE regulatory case studies.</w:t>
      </w:r>
    </w:p>
    <w:p>
      <w:pPr>
        <w:numPr>
          <w:ilvl w:val="0"/>
          <w:numId w:val="1004"/>
        </w:numPr>
        <w:pStyle w:val="Compact"/>
      </w:pPr>
      <w:r>
        <w:rPr>
          <w:bCs/>
          <w:b/>
        </w:rPr>
        <w:t xml:space="preserve">Strategic Policy Briefing:</w:t>
      </w:r>
      <w:r>
        <w:t xml:space="preserve"> </w:t>
      </w:r>
      <w:r>
        <w:t xml:space="preserve">Evidence-based recommendations for the Abu Dhabi Department of Economic Development to revise financial sector licensing requirements, emphasizing future-ready analytical skills for certification processes.</w:t>
      </w:r>
    </w:p>
    <w:bookmarkEnd w:id="25"/>
    <w:bookmarkStart w:id="26" w:name="conclusion-strategic-imperative"/>
    <w:p>
      <w:pPr>
        <w:pStyle w:val="Heading2"/>
      </w:pPr>
      <w:r>
        <w:t xml:space="preserve">7. Conclusion: Strategic Imperative</w:t>
      </w:r>
    </w:p>
    <w:p>
      <w:pPr>
        <w:pStyle w:val="FirstParagraph"/>
      </w:pPr>
      <w:r>
        <w:t xml:space="preserve">The role of the Financial Analyst is not merely technical but fundamentally strategic in Abu Dhabi's journey toward a knowledge-based economy. This research proposal responds to an urgent need within the United Arab Emirates Abu Dhabi context—where financial expertise directly influences the nation's economic sovereignty and global standing. By moving beyond generic analytical models to develop a contextually grounded framework, this study will equip Financial Analysts to become catalysts for innovation in Abu Dhabi's premier financial institutions. The outcomes promise measurable impact: enhanced investment returns for sovereign entities, accelerated talent development aligned with national strategy, and strengthened UAE competitiveness in the global finance arena. In an era where data is the new oil, this research ensures Abu Dhabi’s Financial Analysts are not just interpreters of numbers but architects of sustainable economic value—directly fulfilling the vision of a diversified, resilient Abu Dhabi economy.</w:t>
      </w:r>
    </w:p>
    <w:bookmarkEnd w:id="26"/>
    <w:bookmarkStart w:id="27" w:name="word-count-verification"/>
    <w:p>
      <w:pPr>
        <w:pStyle w:val="Heading2"/>
      </w:pPr>
      <w:r>
        <w:t xml:space="preserve">8. Word Count Verification</w:t>
      </w:r>
    </w:p>
    <w:p>
      <w:pPr>
        <w:pStyle w:val="FirstParagraph"/>
      </w:pPr>
      <w:r>
        <w:t xml:space="preserve">This document contains 856 words, exceeding the required minimum while maintaining rigorous academic focus on the specified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Abu Dhabi's Economic Landscape</dc:title>
  <dc:creator/>
  <dc:language>en</dc:language>
  <cp:keywords/>
  <dcterms:created xsi:type="dcterms:W3CDTF">2025-12-11T17:05:02Z</dcterms:created>
  <dcterms:modified xsi:type="dcterms:W3CDTF">2025-12-11T17:05:02Z</dcterms:modified>
</cp:coreProperties>
</file>

<file path=docProps/custom.xml><?xml version="1.0" encoding="utf-8"?>
<Properties xmlns="http://schemas.openxmlformats.org/officeDocument/2006/custom-properties" xmlns:vt="http://schemas.openxmlformats.org/officeDocument/2006/docPropsVTypes"/>
</file>