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Baghdad,</w:t>
      </w:r>
      <w:r>
        <w:t xml:space="preserve"> </w:t>
      </w:r>
      <w:r>
        <w:t xml:space="preserve">Iraq</w:t>
      </w:r>
    </w:p>
    <w:bookmarkStart w:id="29" w:name="Xc7b6482b62cd22cceb8bb2503c51768ec1b9030"/>
    <w:p>
      <w:pPr>
        <w:pStyle w:val="Heading1"/>
      </w:pPr>
      <w:r>
        <w:t xml:space="preserve">Research Proposal: Enhancing Firefighting Capabilities for Urban Emergency Response in Baghdad, Iraq</w:t>
      </w:r>
    </w:p>
    <w:bookmarkStart w:id="20" w:name="abstract"/>
    <w:p>
      <w:pPr>
        <w:pStyle w:val="Heading2"/>
      </w:pPr>
      <w:r>
        <w:t xml:space="preserve">Abstract</w:t>
      </w:r>
    </w:p>
    <w:p>
      <w:pPr>
        <w:pStyle w:val="FirstParagraph"/>
      </w:pPr>
      <w:r>
        <w:t xml:space="preserve">This Research Proposal addresses the critical need to modernize and strengthen urban firefighting systems within Baghdad, Iraq. Focusing on operational gaps, resource deficiencies, and contextual challenges specific to Iraq's capital city, this study aims to develop evidence-based strategies for enhancing Firefighter effectiveness. With Baghdad’s population exceeding 8 million and infrastructure strained by decades of conflict, this Research Proposal prioritizes actionable solutions to reduce fire-related casualties and economic losses. The findings will directly inform policy recommendations for the Iraqi Ministry of Interior’s Fire Department and international aid agencies operating in Iraq Baghdad.</w:t>
      </w:r>
    </w:p>
    <w:bookmarkEnd w:id="20"/>
    <w:bookmarkStart w:id="21" w:name="introduction"/>
    <w:p>
      <w:pPr>
        <w:pStyle w:val="Heading2"/>
      </w:pPr>
      <w:r>
        <w:t xml:space="preserve">1. Introduction</w:t>
      </w:r>
    </w:p>
    <w:p>
      <w:pPr>
        <w:pStyle w:val="FirstParagraph"/>
      </w:pPr>
      <w:r>
        <w:t xml:space="preserve">Baghdad, as the political, economic, and cultural hub of Iraq, faces unique urban emergency challenges. Despite being a major city in the Middle East, Baghdad’s firefighting infrastructure lags behind global standards due to underinvestment, legacy damage from past conflicts, and inadequate training frameworks. Firefighter personnel operate with outdated equipment and insufficient protocols in environments characterized by dense housing (e.g., Sadr City), aging commercial districts, and frequent electrical faults. This Research Proposal emerges from urgent field assessments conducted by humanitarian organizations in Iraq Baghdad since 2020, which documented a 45% increase in fire incidents linked to electrical overloads and unregulated industrial activities. Without immediate intervention, Baghdad’s Firefighter forces cannot meet the escalating demands of urban disaster response.</w:t>
      </w:r>
    </w:p>
    <w:bookmarkEnd w:id="21"/>
    <w:bookmarkStart w:id="22" w:name="problem-statement"/>
    <w:p>
      <w:pPr>
        <w:pStyle w:val="Heading2"/>
      </w:pPr>
      <w:r>
        <w:t xml:space="preserve">2. Problem Statement</w:t>
      </w:r>
    </w:p>
    <w:p>
      <w:pPr>
        <w:pStyle w:val="FirstParagraph"/>
      </w:pPr>
      <w:r>
        <w:t xml:space="preserve">The current state of firefighting services in Iraq Baghdad represents a severe public safety risk. Key challenges include:</w:t>
      </w:r>
    </w:p>
    <w:p>
      <w:pPr>
        <w:numPr>
          <w:ilvl w:val="0"/>
          <w:numId w:val="1001"/>
        </w:numPr>
        <w:pStyle w:val="Compact"/>
      </w:pPr>
      <w:r>
        <w:rPr>
          <w:bCs/>
          <w:b/>
        </w:rPr>
        <w:t xml:space="preserve">Equipment Deficiencies:</w:t>
      </w:r>
      <w:r>
        <w:t xml:space="preserve"> </w:t>
      </w:r>
      <w:r>
        <w:t xml:space="preserve">80% of fire stations in Baghdad use vehicles manufactured before 1995, with only 30% having functional aerial ladders.</w:t>
      </w:r>
    </w:p>
    <w:p>
      <w:pPr>
        <w:numPr>
          <w:ilvl w:val="0"/>
          <w:numId w:val="1001"/>
        </w:numPr>
        <w:pStyle w:val="Compact"/>
      </w:pPr>
      <w:r>
        <w:rPr>
          <w:bCs/>
          <w:b/>
        </w:rPr>
        <w:t xml:space="preserve">Training Gaps:</w:t>
      </w:r>
      <w:r>
        <w:t xml:space="preserve"> </w:t>
      </w:r>
      <w:r>
        <w:t xml:space="preserve">Firefighters receive an average of 20 hours of annual technical training—far below the international standard of 200+ hours—resulting in poor response to complex incidents like chemical fires or collapsed structures.</w:t>
      </w:r>
    </w:p>
    <w:p>
      <w:pPr>
        <w:numPr>
          <w:ilvl w:val="0"/>
          <w:numId w:val="1001"/>
        </w:numPr>
        <w:pStyle w:val="Compact"/>
      </w:pPr>
      <w:r>
        <w:rPr>
          <w:bCs/>
          <w:b/>
        </w:rPr>
        <w:t xml:space="preserve">Infrastructure Vulnerability:</w:t>
      </w:r>
      <w:r>
        <w:t xml:space="preserve"> </w:t>
      </w:r>
      <w:r>
        <w:t xml:space="preserve">Over 65% of Baghdad’s residential buildings lack basic fire suppression systems (e.g., sprinklers), and narrow alleyways impede access for Firefighter units.</w:t>
      </w:r>
    </w:p>
    <w:p>
      <w:pPr>
        <w:numPr>
          <w:ilvl w:val="0"/>
          <w:numId w:val="1001"/>
        </w:numPr>
        <w:pStyle w:val="Compact"/>
      </w:pPr>
      <w:r>
        <w:rPr>
          <w:bCs/>
          <w:b/>
        </w:rPr>
        <w:t xml:space="preserve">Systemic Fragmentation:</w:t>
      </w:r>
      <w:r>
        <w:t xml:space="preserve"> </w:t>
      </w:r>
      <w:r>
        <w:t xml:space="preserve">Coordination between the Ministry of Interior Fire Department, municipal authorities, and NGOs remains disjointed during emergencies.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to strengthen Baghdad’s firefighting capacity:</w:t>
      </w:r>
    </w:p>
    <w:p>
      <w:pPr>
        <w:numPr>
          <w:ilvl w:val="0"/>
          <w:numId w:val="1002"/>
        </w:numPr>
        <w:pStyle w:val="Compact"/>
      </w:pPr>
      <w:r>
        <w:rPr>
          <w:bCs/>
          <w:b/>
        </w:rPr>
        <w:t xml:space="preserve">Evaluate Existing Fire Response Systems:</w:t>
      </w:r>
      <w:r>
        <w:t xml:space="preserve"> </w:t>
      </w:r>
      <w:r>
        <w:t xml:space="preserve">Conduct a comprehensive audit of Baghdad’s 47 fire stations, assessing equipment status, personnel ratios (1 firefighter per 50,000 citizens vs. global average of 1:25,000), and incident response times.</w:t>
      </w:r>
    </w:p>
    <w:p>
      <w:pPr>
        <w:numPr>
          <w:ilvl w:val="0"/>
          <w:numId w:val="1002"/>
        </w:numPr>
        <w:pStyle w:val="Compact"/>
      </w:pPr>
      <w:r>
        <w:rPr>
          <w:bCs/>
          <w:b/>
        </w:rPr>
        <w:t xml:space="preserve">Identify Context-Specific Risk Factors:</w:t>
      </w:r>
      <w:r>
        <w:t xml:space="preserve"> </w:t>
      </w:r>
      <w:r>
        <w:t xml:space="preserve">Map high-risk zones in Iraq Baghdad (e.g., industrial corridors in Al-Jadriya, informal settlements) to prioritize resource allocation for Firefighter deployment.</w:t>
      </w:r>
    </w:p>
    <w:p>
      <w:pPr>
        <w:numPr>
          <w:ilvl w:val="0"/>
          <w:numId w:val="1002"/>
        </w:numPr>
        <w:pStyle w:val="Compact"/>
      </w:pPr>
      <w:r>
        <w:rPr>
          <w:bCs/>
          <w:b/>
        </w:rPr>
        <w:t xml:space="preserve">Develop Culturally Appropriate Training Frameworks:</w:t>
      </w:r>
      <w:r>
        <w:t xml:space="preserve"> </w:t>
      </w:r>
      <w:r>
        <w:t xml:space="preserve">Design modular training programs addressing Baghdad’s unique challenges—such as dust-related respiratory hazards and conflict-zone fire dynamics—tailored for Iraqi Firefighter personnel.</w:t>
      </w:r>
    </w:p>
    <w:bookmarkEnd w:id="23"/>
    <w:bookmarkStart w:id="24" w:name="methodology"/>
    <w:p>
      <w:pPr>
        <w:pStyle w:val="Heading2"/>
      </w:pPr>
      <w:r>
        <w:t xml:space="preserve">4. Methodology</w:t>
      </w:r>
    </w:p>
    <w:p>
      <w:pPr>
        <w:pStyle w:val="FirstParagraph"/>
      </w:pPr>
      <w:r>
        <w:t xml:space="preserve">The research employs a mixed-methods approach grounded in fieldwork within Iraq Baghdad:</w:t>
      </w:r>
    </w:p>
    <w:p>
      <w:pPr>
        <w:numPr>
          <w:ilvl w:val="0"/>
          <w:numId w:val="1003"/>
        </w:numPr>
        <w:pStyle w:val="Compact"/>
      </w:pPr>
      <w:r>
        <w:rPr>
          <w:bCs/>
          <w:b/>
        </w:rPr>
        <w:t xml:space="preserve">Phase 1 (3 months):</w:t>
      </w:r>
      <w:r>
        <w:t xml:space="preserve"> </w:t>
      </w:r>
      <w:r>
        <w:t xml:space="preserve">Quantitative assessment of fire station assets and incident data (2019–2023) via the Ministry of Interior’s records, supplemented by GPS-mapped fire hotspots using satellite imagery.</w:t>
      </w:r>
    </w:p>
    <w:p>
      <w:pPr>
        <w:numPr>
          <w:ilvl w:val="0"/>
          <w:numId w:val="1003"/>
        </w:numPr>
        <w:pStyle w:val="Compact"/>
      </w:pPr>
      <w:r>
        <w:rPr>
          <w:bCs/>
          <w:b/>
        </w:rPr>
        <w:t xml:space="preserve">Phase 2 (4 months):</w:t>
      </w:r>
      <w:r>
        <w:t xml:space="preserve"> </w:t>
      </w:r>
      <w:r>
        <w:t xml:space="preserve">Qualitative fieldwork involving 15 focus groups with Baghdad Firefighters, municipal officials, and community leaders to identify operational barriers. Safety protocols will strictly adhere to UN Security Guidelines for Iraq operations.</w:t>
      </w:r>
    </w:p>
    <w:p>
      <w:pPr>
        <w:numPr>
          <w:ilvl w:val="0"/>
          <w:numId w:val="1003"/>
        </w:numPr>
        <w:pStyle w:val="Compact"/>
      </w:pPr>
      <w:r>
        <w:rPr>
          <w:bCs/>
          <w:b/>
        </w:rPr>
        <w:t xml:space="preserve">Phase 3 (2 months):</w:t>
      </w:r>
      <w:r>
        <w:t xml:space="preserve"> </w:t>
      </w:r>
      <w:r>
        <w:t xml:space="preserve">Co-design pilot training modules with Iraqi Firefighter supervisors at Al-Mustansiriyah Fire Academy, testing scenarios like fire suppression in crowded markets and electrical fire management.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 for Baghdad’s emergency services:</w:t>
      </w:r>
    </w:p>
    <w:p>
      <w:pPr>
        <w:numPr>
          <w:ilvl w:val="0"/>
          <w:numId w:val="1004"/>
        </w:numPr>
        <w:pStyle w:val="Compact"/>
      </w:pPr>
      <w:r>
        <w:t xml:space="preserve">A data-driven roadmap to replace 60% of obsolete firefighting equipment by 2027, prioritizing stations in high-risk districts like Rusafa and Al-Karkh.</w:t>
      </w:r>
    </w:p>
    <w:p>
      <w:pPr>
        <w:numPr>
          <w:ilvl w:val="0"/>
          <w:numId w:val="1004"/>
        </w:numPr>
        <w:pStyle w:val="Compact"/>
      </w:pPr>
      <w:r>
        <w:t xml:space="preserve">Standardized training curricula integrating Iraqi context—e.g., using locally available materials for fire hose drills—and a digital resource hub accessible via low-bandwidth networks.</w:t>
      </w:r>
    </w:p>
    <w:p>
      <w:pPr>
        <w:numPr>
          <w:ilvl w:val="0"/>
          <w:numId w:val="1004"/>
        </w:numPr>
        <w:pStyle w:val="Compact"/>
      </w:pPr>
      <w:r>
        <w:t xml:space="preserve">Policies to establish a Baghdad Firefighting Coordination Unit, ensuring seamless communication between Firefighter teams and police/health services during crises.</w:t>
      </w:r>
    </w:p>
    <w:p>
      <w:pPr>
        <w:pStyle w:val="FirstParagraph"/>
      </w:pPr>
      <w:r>
        <w:t xml:space="preserve">The significance extends beyond Baghdad: findings will serve as a replicable model for other Iraqi cities (e.g., Mosul, Basra) grappling with similar infrastructure gaps. By empowering the Iraqi Firefighter workforce, this project directly supports Iraq’s National Disaster Management Strategy (2021–2030) and UN Sustainable Development Goal 11 (Resilient Cities).</w:t>
      </w:r>
    </w:p>
    <w:bookmarkEnd w:id="25"/>
    <w:bookmarkStart w:id="26" w:name="budget-timeline"/>
    <w:p>
      <w:pPr>
        <w:pStyle w:val="Heading2"/>
      </w:pPr>
      <w:r>
        <w:t xml:space="preserve">6. Budget &amp; Timeline</w:t>
      </w:r>
    </w:p>
    <w:p>
      <w:pPr>
        <w:pStyle w:val="FirstParagraph"/>
      </w:pPr>
      <w:r>
        <w:t xml:space="preserve">Total proposed budget: $485,000 USD over 9 months.</w:t>
      </w:r>
    </w:p>
    <w:p>
      <w:pPr>
        <w:numPr>
          <w:ilvl w:val="0"/>
          <w:numId w:val="1005"/>
        </w:numPr>
        <w:pStyle w:val="Compact"/>
      </w:pPr>
      <w:r>
        <w:rPr>
          <w:bCs/>
          <w:b/>
        </w:rPr>
        <w:t xml:space="preserve">Field Research (35%):</w:t>
      </w:r>
      <w:r>
        <w:t xml:space="preserve"> </w:t>
      </w:r>
      <w:r>
        <w:t xml:space="preserve">$170,000 (including equipment audits and community surveys in Baghdad)</w:t>
      </w:r>
    </w:p>
    <w:p>
      <w:pPr>
        <w:numPr>
          <w:ilvl w:val="0"/>
          <w:numId w:val="1005"/>
        </w:numPr>
        <w:pStyle w:val="Compact"/>
      </w:pPr>
      <w:r>
        <w:rPr>
          <w:bCs/>
          <w:b/>
        </w:rPr>
        <w:t xml:space="preserve">Training Development (25%):</w:t>
      </w:r>
      <w:r>
        <w:t xml:space="preserve"> </w:t>
      </w:r>
      <w:r>
        <w:t xml:space="preserve">$121,250 (curriculum design, materials production)</w:t>
      </w:r>
    </w:p>
    <w:p>
      <w:pPr>
        <w:numPr>
          <w:ilvl w:val="0"/>
          <w:numId w:val="1005"/>
        </w:numPr>
        <w:pStyle w:val="Compact"/>
      </w:pPr>
      <w:r>
        <w:rPr>
          <w:bCs/>
          <w:b/>
        </w:rPr>
        <w:t xml:space="preserve">Pilot Implementation &amp; Evaluation (30%):</w:t>
      </w:r>
      <w:r>
        <w:t xml:space="preserve"> </w:t>
      </w:r>
      <w:r>
        <w:t xml:space="preserve">$145,500 (training delivery at 3 Baghdad stations)</w:t>
      </w:r>
    </w:p>
    <w:p>
      <w:pPr>
        <w:numPr>
          <w:ilvl w:val="0"/>
          <w:numId w:val="1005"/>
        </w:numPr>
        <w:pStyle w:val="Compact"/>
      </w:pPr>
      <w:r>
        <w:rPr>
          <w:bCs/>
          <w:b/>
        </w:rPr>
        <w:t xml:space="preserve">Reporting &amp; Dissemination (10%):</w:t>
      </w:r>
      <w:r>
        <w:t xml:space="preserve"> </w:t>
      </w:r>
      <w:r>
        <w:t xml:space="preserve">$48,250 (policy briefs for Iraqi authorities)</w:t>
      </w:r>
    </w:p>
    <w:bookmarkEnd w:id="26"/>
    <w:bookmarkStart w:id="27" w:name="conclusion"/>
    <w:p>
      <w:pPr>
        <w:pStyle w:val="Heading2"/>
      </w:pPr>
      <w:r>
        <w:t xml:space="preserve">7. Conclusion</w:t>
      </w:r>
    </w:p>
    <w:p>
      <w:pPr>
        <w:pStyle w:val="FirstParagraph"/>
      </w:pPr>
      <w:r>
        <w:t xml:space="preserve">In Iraq Baghdad, where every minute of delayed firefighting response escalates human and economic costs, this Research Proposal offers a lifeline. By centering the expertise of local Firefighter personnel and addressing Baghdad’s specific urban realities—rather than imposing generic solutions—this study will build resilience from within. The success of this initiative hinges on collaboration: Iraqi authorities, international partners, and Baghdad communities must unite to ensure firefighters are equipped not merely with tools, but with the confidence to protect their city. This Research Proposal is a strategic investment in Baghdad’s future safety; it transforms firefighting from a reactive service into a proactive shield for Iraq’s capital.</w:t>
      </w:r>
    </w:p>
    <w:bookmarkEnd w:id="27"/>
    <w:bookmarkStart w:id="28" w:name="references-selected"/>
    <w:p>
      <w:pPr>
        <w:pStyle w:val="Heading2"/>
      </w:pPr>
      <w:r>
        <w:t xml:space="preserve">8. References (Selected)</w:t>
      </w:r>
    </w:p>
    <w:p>
      <w:pPr>
        <w:pStyle w:val="FirstParagraph"/>
      </w:pPr>
      <w:r>
        <w:rPr>
          <w:iCs/>
          <w:i/>
        </w:rPr>
        <w:t xml:space="preserve">Iraq Ministry of Interior Fire Department Annual Report (2023). Baghdad, Iraq.</w:t>
      </w:r>
      <w:r>
        <w:br/>
      </w:r>
      <w:r>
        <w:rPr>
          <w:iCs/>
          <w:i/>
        </w:rPr>
        <w:t xml:space="preserve">International Federation of Red Cross &amp; Red Crescent Societies (IFRC). "Urban Fire Risk in Conflict-Affected Cities" (2022).</w:t>
      </w:r>
      <w:r>
        <w:br/>
      </w:r>
      <w:r>
        <w:rPr>
          <w:iCs/>
          <w:i/>
        </w:rPr>
        <w:t xml:space="preserve">United Nations Development Programme. "Baghdad Urban Resilience Project" (Ongoing, 2021–Present).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Urban Emergency Response in Baghdad, Iraq</dc:title>
  <dc:creator/>
  <dc:language>en</dc:language>
  <cp:keywords/>
  <dcterms:created xsi:type="dcterms:W3CDTF">2026-07-20T15:42:18Z</dcterms:created>
  <dcterms:modified xsi:type="dcterms:W3CDTF">2026-07-20T15:42:18Z</dcterms:modified>
</cp:coreProperties>
</file>

<file path=docProps/custom.xml><?xml version="1.0" encoding="utf-8"?>
<Properties xmlns="http://schemas.openxmlformats.org/officeDocument/2006/custom-properties" xmlns:vt="http://schemas.openxmlformats.org/officeDocument/2006/docPropsVTypes"/>
</file>