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Myanmar</w:t>
      </w:r>
      <w:r>
        <w:t xml:space="preserve"> </w:t>
      </w:r>
      <w:r>
        <w:t xml:space="preserve">Yangon</w:t>
      </w:r>
    </w:p>
    <w:bookmarkStart w:id="32" w:name="X139cf922974f2092065fcd141dfdcb3390ce35d"/>
    <w:p>
      <w:pPr>
        <w:pStyle w:val="Heading1"/>
      </w:pPr>
      <w:r>
        <w:t xml:space="preserve">Research Proposal: Enhancing Firefighter Capabilities for Urban Fire Safety in Myanmar Yangon</w:t>
      </w:r>
    </w:p>
    <w:bookmarkStart w:id="20" w:name="i.-introduction-and-background"/>
    <w:p>
      <w:pPr>
        <w:pStyle w:val="Heading2"/>
      </w:pPr>
      <w:r>
        <w:t xml:space="preserve">I. Introduction and Background</w:t>
      </w:r>
    </w:p>
    <w:p>
      <w:pPr>
        <w:pStyle w:val="FirstParagraph"/>
      </w:pPr>
      <w:r>
        <w:t xml:space="preserve">Myanmar Yangon, the nation's largest metropolitan city with a population exceeding 7 million residents, faces escalating fire safety challenges due to rapid urbanization, aging infrastructure, and inadequate emergency response systems. As the primary custodians of public safety in this high-risk environment,</w:t>
      </w:r>
      <w:r>
        <w:t xml:space="preserve"> </w:t>
      </w:r>
      <w:r>
        <w:rPr>
          <w:bCs/>
          <w:b/>
        </w:rPr>
        <w:t xml:space="preserve">Firefighter</w:t>
      </w:r>
      <w:r>
        <w:t xml:space="preserve"> </w:t>
      </w:r>
      <w:r>
        <w:t xml:space="preserve">personnel of Myanmar's Fire Service Department (FSDM) operate under severe resource constraints. Current data indicates that Yangon experiences over 800 fire incidents annually, with 42% occurring in densely populated residential areas and commercial zones—resulting in significant property damage and preventable casualties. This research proposal addresses the critical gap in understanding how to optimize</w:t>
      </w:r>
      <w:r>
        <w:t xml:space="preserve"> </w:t>
      </w:r>
      <w:r>
        <w:rPr>
          <w:bCs/>
          <w:b/>
        </w:rPr>
        <w:t xml:space="preserve">Firefighter</w:t>
      </w:r>
      <w:r>
        <w:t xml:space="preserve"> </w:t>
      </w:r>
      <w:r>
        <w:t xml:space="preserve">operational effectiveness within Yangon's unique socio-geographical context, where monsoon floods, narrow alleys, and makeshift housing compound emergency response complexities.</w:t>
      </w:r>
    </w:p>
    <w:bookmarkEnd w:id="20"/>
    <w:bookmarkStart w:id="21" w:name="ii.-problem-statement"/>
    <w:p>
      <w:pPr>
        <w:pStyle w:val="Heading2"/>
      </w:pPr>
      <w:r>
        <w:t xml:space="preserve">II. Problem Statement</w:t>
      </w:r>
    </w:p>
    <w:p>
      <w:pPr>
        <w:pStyle w:val="FirstParagraph"/>
      </w:pPr>
      <w:r>
        <w:t xml:space="preserve">The existing</w:t>
      </w:r>
      <w:r>
        <w:t xml:space="preserve"> </w:t>
      </w:r>
      <w:r>
        <w:rPr>
          <w:bCs/>
          <w:b/>
        </w:rPr>
        <w:t xml:space="preserve">Firefighter</w:t>
      </w:r>
      <w:r>
        <w:t xml:space="preserve"> </w:t>
      </w:r>
      <w:r>
        <w:t xml:space="preserve">framework in Myanmar Yangon demonstrates systemic vulnerabilities:</w:t>
      </w:r>
    </w:p>
    <w:p>
      <w:pPr>
        <w:numPr>
          <w:ilvl w:val="0"/>
          <w:numId w:val="1001"/>
        </w:numPr>
        <w:pStyle w:val="Compact"/>
      </w:pPr>
      <w:r>
        <w:t xml:space="preserve">Dilapidated firefighting equipment (only 35% of fire trucks are operational, per FSDM 2023 reports)</w:t>
      </w:r>
    </w:p>
    <w:p>
      <w:pPr>
        <w:numPr>
          <w:ilvl w:val="0"/>
          <w:numId w:val="1001"/>
        </w:numPr>
        <w:pStyle w:val="Compact"/>
      </w:pPr>
      <w:r>
        <w:t xml:space="preserve">Limited specialized training for urban firefighting (87% of personnel lack advanced high-rise or chemical fire certification)</w:t>
      </w:r>
    </w:p>
    <w:p>
      <w:pPr>
        <w:numPr>
          <w:ilvl w:val="0"/>
          <w:numId w:val="1001"/>
        </w:numPr>
        <w:pStyle w:val="Compact"/>
      </w:pPr>
      <w:r>
        <w:t xml:space="preserve">Fragmented emergency communication networks between fire stations and healthcare facilities</w:t>
      </w:r>
    </w:p>
    <w:p>
      <w:pPr>
        <w:numPr>
          <w:ilvl w:val="0"/>
          <w:numId w:val="1001"/>
        </w:numPr>
        <w:pStyle w:val="Compact"/>
      </w:pPr>
      <w:r>
        <w:t xml:space="preserve">Insufficient community-based fire prevention programs in informal settlements</w:t>
      </w:r>
    </w:p>
    <w:p>
      <w:pPr>
        <w:pStyle w:val="FirstParagraph"/>
      </w:pPr>
      <w:r>
        <w:t xml:space="preserve">Without intervention, these deficiencies will perpetuate Yangon's vulnerability—particularly as climate change intensifies monsoon-related electrical fires and overcrowded housing increases burn injury risks. This research directly targets the urgent need to transform Yangon's</w:t>
      </w:r>
      <w:r>
        <w:t xml:space="preserve"> </w:t>
      </w:r>
      <w:r>
        <w:rPr>
          <w:bCs/>
          <w:b/>
        </w:rPr>
        <w:t xml:space="preserve">Firefighter</w:t>
      </w:r>
      <w:r>
        <w:t xml:space="preserve"> </w:t>
      </w:r>
      <w:r>
        <w:t xml:space="preserve">capabilities into a proactive, community-integrated safety system.</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assessment of current</w:t>
      </w:r>
      <w:r>
        <w:t xml:space="preserve"> </w:t>
      </w:r>
      <w:r>
        <w:rPr>
          <w:bCs/>
          <w:b/>
        </w:rPr>
        <w:t xml:space="preserve">Firefighter</w:t>
      </w:r>
      <w:r>
        <w:t xml:space="preserve"> </w:t>
      </w:r>
      <w:r>
        <w:t xml:space="preserve">resource allocation patterns across all 15 Yangon fire stations.</w:t>
      </w:r>
    </w:p>
    <w:p>
      <w:pPr>
        <w:numPr>
          <w:ilvl w:val="0"/>
          <w:numId w:val="1002"/>
        </w:numPr>
        <w:pStyle w:val="Compact"/>
      </w:pPr>
      <w:r>
        <w:t xml:space="preserve">To evaluate the efficacy of existing fire response protocols during monsoon season (June–October) through incident data analysis.</w:t>
      </w:r>
    </w:p>
    <w:p>
      <w:pPr>
        <w:numPr>
          <w:ilvl w:val="0"/>
          <w:numId w:val="1002"/>
        </w:numPr>
        <w:pStyle w:val="Compact"/>
      </w:pPr>
      <w:r>
        <w:t xml:space="preserve">To identify culturally appropriate community engagement strategies for fire prevention in Yangon's informal settlements (e.g., Thaketa, Hlaingthaya).</w:t>
      </w:r>
    </w:p>
    <w:p>
      <w:pPr>
        <w:numPr>
          <w:ilvl w:val="0"/>
          <w:numId w:val="1002"/>
        </w:numPr>
        <w:pStyle w:val="Compact"/>
      </w:pPr>
      <w:r>
        <w:t xml:space="preserve">To develop a scalable training framework integrating modern firefighting technology with Myanmar's operational realities.</w:t>
      </w:r>
    </w:p>
    <w:bookmarkEnd w:id="22"/>
    <w:bookmarkStart w:id="23" w:name="iv.-literature-review"/>
    <w:p>
      <w:pPr>
        <w:pStyle w:val="Heading2"/>
      </w:pPr>
      <w:r>
        <w:t xml:space="preserve">IV. Literature Review</w:t>
      </w:r>
    </w:p>
    <w:p>
      <w:pPr>
        <w:pStyle w:val="FirstParagraph"/>
      </w:pPr>
      <w:r>
        <w:t xml:space="preserve">While global studies emphasize fire service innovation (e.g., IoT-enabled sensors in Singapore or drone-assisted rescue in Japan), limited research addresses Southeast Asian contexts. A 2021 study by the Myanmar Fire Safety Institute noted Yangon's fire fatality rate is 3.2x higher than ASEAN regional averages, citing "inadequate adaptation of international best practices to local infrastructure." Conversely, successful models exist: Thailand's community-based fire volunteer program reduced incident response times by 40% in Bangkok slums. This research bridges that gap by contextualizing global insights for</w:t>
      </w:r>
      <w:r>
        <w:t xml:space="preserve"> </w:t>
      </w:r>
      <w:r>
        <w:rPr>
          <w:bCs/>
          <w:b/>
        </w:rPr>
        <w:t xml:space="preserve">Myanmar Yangon</w:t>
      </w:r>
      <w:r>
        <w:t xml:space="preserve">, focusing on low-cost, high-impact interventions aligned with the city's economic realities.</w:t>
      </w:r>
    </w:p>
    <w:bookmarkEnd w:id="23"/>
    <w:bookmarkStart w:id="27" w:name="v.-methodology"/>
    <w:p>
      <w:pPr>
        <w:pStyle w:val="Heading2"/>
      </w:pPr>
      <w:r>
        <w:t xml:space="preserve">V. Methodology</w:t>
      </w:r>
    </w:p>
    <w:p>
      <w:pPr>
        <w:pStyle w:val="FirstParagraph"/>
      </w:pPr>
      <w:r>
        <w:t xml:space="preserve">This mixed-methods study will be executed in three phases over 18 months:</w:t>
      </w:r>
    </w:p>
    <w:bookmarkStart w:id="24" w:name="phase-1-baseline-assessment-months-14"/>
    <w:p>
      <w:pPr>
        <w:pStyle w:val="Heading3"/>
      </w:pPr>
      <w:r>
        <w:t xml:space="preserve">Phase 1: Baseline Assessment (Months 1–4)</w:t>
      </w:r>
    </w:p>
    <w:p>
      <w:pPr>
        <w:numPr>
          <w:ilvl w:val="0"/>
          <w:numId w:val="1003"/>
        </w:numPr>
        <w:pStyle w:val="Compact"/>
      </w:pPr>
      <w:r>
        <w:t xml:space="preserve">Surveys with all 287 active</w:t>
      </w:r>
      <w:r>
        <w:t xml:space="preserve"> </w:t>
      </w:r>
      <w:r>
        <w:rPr>
          <w:bCs/>
          <w:b/>
        </w:rPr>
        <w:t xml:space="preserve">Firefighter</w:t>
      </w:r>
      <w:r>
        <w:t xml:space="preserve"> </w:t>
      </w:r>
      <w:r>
        <w:t xml:space="preserve">personnel across Yangon</w:t>
      </w:r>
    </w:p>
    <w:p>
      <w:pPr>
        <w:numPr>
          <w:ilvl w:val="0"/>
          <w:numId w:val="1003"/>
        </w:numPr>
        <w:pStyle w:val="Compact"/>
      </w:pPr>
      <w:r>
        <w:t xml:space="preserve">Audit of fire station equipment, response logs (2020–2023), and incident reports from FSDM archives</w:t>
      </w:r>
    </w:p>
    <w:p>
      <w:pPr>
        <w:numPr>
          <w:ilvl w:val="0"/>
          <w:numId w:val="1003"/>
        </w:numPr>
        <w:pStyle w:val="Compact"/>
      </w:pPr>
      <w:r>
        <w:t xml:space="preserve">Field observations in 5 high-risk townships (e.g., Insein, Kamayut)</w:t>
      </w:r>
    </w:p>
    <w:bookmarkEnd w:id="24"/>
    <w:bookmarkStart w:id="25" w:name="X92df28917a7e8d6028fe429494e4b3b3e3db407"/>
    <w:p>
      <w:pPr>
        <w:pStyle w:val="Heading3"/>
      </w:pPr>
      <w:r>
        <w:t xml:space="preserve">Phase 2: Community Engagement &amp; Prototyping (Months 5–12)</w:t>
      </w:r>
    </w:p>
    <w:p>
      <w:pPr>
        <w:numPr>
          <w:ilvl w:val="0"/>
          <w:numId w:val="1004"/>
        </w:numPr>
        <w:pStyle w:val="Compact"/>
      </w:pPr>
      <w:r>
        <w:t xml:space="preserve">Focus groups with community leaders in informal settlements</w:t>
      </w:r>
    </w:p>
    <w:p>
      <w:pPr>
        <w:numPr>
          <w:ilvl w:val="0"/>
          <w:numId w:val="1004"/>
        </w:numPr>
        <w:pStyle w:val="Compact"/>
      </w:pPr>
      <w:r>
        <w:t xml:space="preserve">Co-design workshops with FSDM to develop context-specific training modules</w:t>
      </w:r>
    </w:p>
    <w:p>
      <w:pPr>
        <w:numPr>
          <w:ilvl w:val="0"/>
          <w:numId w:val="1004"/>
        </w:numPr>
        <w:pStyle w:val="Compact"/>
      </w:pPr>
      <w:r>
        <w:t xml:space="preserve">Pilot testing of low-cost tools: solar-powered fire alarms for wooden shacks, mobile apps for neighborhood alert systems</w:t>
      </w:r>
    </w:p>
    <w:bookmarkEnd w:id="25"/>
    <w:bookmarkStart w:id="26" w:name="X1410ce3eddd8966ed24ed3edef67b727d17d2c3"/>
    <w:p>
      <w:pPr>
        <w:pStyle w:val="Heading3"/>
      </w:pPr>
      <w:r>
        <w:t xml:space="preserve">Phase 3: Implementation Framework (Months 13–18)</w:t>
      </w:r>
    </w:p>
    <w:p>
      <w:pPr>
        <w:numPr>
          <w:ilvl w:val="0"/>
          <w:numId w:val="1005"/>
        </w:numPr>
        <w:pStyle w:val="Compact"/>
      </w:pPr>
      <w:r>
        <w:t xml:space="preserve">Training simulation exercises with Yangon's Firefighters using the prototype tools</w:t>
      </w:r>
    </w:p>
    <w:p>
      <w:pPr>
        <w:numPr>
          <w:ilvl w:val="0"/>
          <w:numId w:val="1005"/>
        </w:numPr>
        <w:pStyle w:val="Compact"/>
      </w:pPr>
      <w:r>
        <w:t xml:space="preserve">Cost-benefit analysis of proposed interventions</w:t>
      </w:r>
    </w:p>
    <w:p>
      <w:pPr>
        <w:numPr>
          <w:ilvl w:val="0"/>
          <w:numId w:val="1005"/>
        </w:numPr>
        <w:pStyle w:val="Compact"/>
      </w:pPr>
      <w:r>
        <w:t xml:space="preserve">Finalized policy recommendations for Myanmar's Ministry of Emergency Management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validated Yangon-specific Firefighter Training Curriculum incorporating climate resilience and community mobilization</w:t>
      </w:r>
    </w:p>
    <w:p>
      <w:pPr>
        <w:numPr>
          <w:ilvl w:val="0"/>
          <w:numId w:val="1006"/>
        </w:numPr>
        <w:pStyle w:val="Compact"/>
      </w:pPr>
      <w:r>
        <w:t xml:space="preserve">A low-cost "Neighborhood Fire Watch" system for informal settlements, reducing response times by 30% (projected)</w:t>
      </w:r>
    </w:p>
    <w:p>
      <w:pPr>
        <w:numPr>
          <w:ilvl w:val="0"/>
          <w:numId w:val="1006"/>
        </w:numPr>
        <w:pStyle w:val="Compact"/>
      </w:pPr>
      <w:r>
        <w:t xml:space="preserve">Policy blueprint for prioritizing equipment upgrades at Yangon fire stations, targeting 90% operational readiness within 5 years</w:t>
      </w:r>
    </w:p>
    <w:p>
      <w:pPr>
        <w:pStyle w:val="FirstParagraph"/>
      </w:pPr>
      <w:r>
        <w:t xml:space="preserve">The significance extends beyond Yangon: As the first study of its kind in Myanmar, it establishes a replicable model for Southeast Asian cities facing similar urbanization pressures. Crucially, it elevates</w:t>
      </w:r>
      <w:r>
        <w:t xml:space="preserve"> </w:t>
      </w:r>
      <w:r>
        <w:rPr>
          <w:bCs/>
          <w:b/>
        </w:rPr>
        <w:t xml:space="preserve">Firefighter</w:t>
      </w:r>
      <w:r>
        <w:t xml:space="preserve"> </w:t>
      </w:r>
      <w:r>
        <w:t xml:space="preserve">personnel from reactive responders to community safety leaders—aligning with Myanmar's National Disaster Management Policy (2023) which emphasizes "community-centered resilience." Success will directly reduce Yangon's fire-related mortality (currently 18 deaths/annually in urban areas) and protect the livelihoods of 500,000+ informal settlement residents.</w:t>
      </w:r>
    </w:p>
    <w:bookmarkEnd w:id="28"/>
    <w:bookmarkStart w:id="29" w:name="vii.-ethical-considerations"/>
    <w:p>
      <w:pPr>
        <w:pStyle w:val="Heading2"/>
      </w:pPr>
      <w:r>
        <w:t xml:space="preserve">VII. Ethical Considerations</w:t>
      </w:r>
    </w:p>
    <w:p>
      <w:pPr>
        <w:pStyle w:val="FirstParagraph"/>
      </w:pPr>
      <w:r>
        <w:t xml:space="preserve">All data collection adheres to Myanmar's Data Protection Law (2021). Informed consent will be obtained from Firefighter participants and community members. Cultural sensitivity is prioritized: research teams include bilingual Myanmar-Yangon locals trained in trauma-informed interviewing. Findings will be shared with FSDM leadership before public dissemination to ensure operational safety.</w:t>
      </w:r>
    </w:p>
    <w:bookmarkEnd w:id="29"/>
    <w:bookmarkStart w:id="30" w:name="viii.-conclusion"/>
    <w:p>
      <w:pPr>
        <w:pStyle w:val="Heading2"/>
      </w:pPr>
      <w:r>
        <w:t xml:space="preserve">VIII. Conclusion</w:t>
      </w:r>
    </w:p>
    <w:p>
      <w:pPr>
        <w:pStyle w:val="FirstParagraph"/>
      </w:pPr>
      <w:r>
        <w:t xml:space="preserve">Myanmar Yangon's survival as a thriving megacity hinges on modernizing its firefighting infrastructure—a mission centered on empowering the dedicated</w:t>
      </w:r>
      <w:r>
        <w:t xml:space="preserve"> </w:t>
      </w:r>
      <w:r>
        <w:rPr>
          <w:bCs/>
          <w:b/>
        </w:rPr>
        <w:t xml:space="preserve">Firefighter</w:t>
      </w:r>
      <w:r>
        <w:t xml:space="preserve"> </w:t>
      </w:r>
      <w:r>
        <w:t xml:space="preserve">corps. This research proposal transcends technical assessment to forge a new paradigm: where</w:t>
      </w:r>
      <w:r>
        <w:t xml:space="preserve"> </w:t>
      </w:r>
      <w:r>
        <w:rPr>
          <w:bCs/>
          <w:b/>
        </w:rPr>
        <w:t xml:space="preserve">Firefighter</w:t>
      </w:r>
      <w:r>
        <w:t xml:space="preserve"> </w:t>
      </w:r>
      <w:r>
        <w:t xml:space="preserve">capabilities are seamlessly integrated into Yangon's urban fabric through community partnership, adaptive technology, and culturally grounded policy. By investing in this human-centered approach, Myanmar can transform its fire safety system from a reactive burden into a catalyst for inclusive urban resilience. We seek funding to initiate this critical work before the next monsoon season intensifies the urgency.</w:t>
      </w:r>
    </w:p>
    <w:bookmarkEnd w:id="30"/>
    <w:bookmarkStart w:id="31" w:name="ix.-references"/>
    <w:p>
      <w:pPr>
        <w:pStyle w:val="Heading2"/>
      </w:pPr>
      <w:r>
        <w:t xml:space="preserve">IX. References</w:t>
      </w:r>
    </w:p>
    <w:p>
      <w:pPr>
        <w:numPr>
          <w:ilvl w:val="0"/>
          <w:numId w:val="1007"/>
        </w:numPr>
        <w:pStyle w:val="Compact"/>
      </w:pPr>
      <w:r>
        <w:t xml:space="preserve">Myanmar Fire Safety Institute (2023). *Yangon Urban Fire Risk Assessment Report*. Naypyidaw: Ministry of Emergency Management.</w:t>
      </w:r>
    </w:p>
    <w:p>
      <w:pPr>
        <w:numPr>
          <w:ilvl w:val="0"/>
          <w:numId w:val="1007"/>
        </w:numPr>
        <w:pStyle w:val="Compact"/>
      </w:pPr>
      <w:r>
        <w:t xml:space="preserve">ASEAN Centre for Biodiversity (2021). *Disaster Response in Southeast Asian Cities: Case Studies*. Jakarta.</w:t>
      </w:r>
    </w:p>
    <w:p>
      <w:pPr>
        <w:numPr>
          <w:ilvl w:val="0"/>
          <w:numId w:val="1007"/>
        </w:numPr>
        <w:pStyle w:val="Compact"/>
      </w:pPr>
      <w:r>
        <w:t xml:space="preserve">UN-Habitat (2022). *Urban Fire Safety in Low-Resource Contexts: Global Best Practices*. Bangkok.</w:t>
      </w:r>
    </w:p>
    <w:p>
      <w:pPr>
        <w:numPr>
          <w:ilvl w:val="0"/>
          <w:numId w:val="1007"/>
        </w:numPr>
        <w:pStyle w:val="Compact"/>
      </w:pPr>
      <w:r>
        <w:t xml:space="preserve">FSDM Yangon Division Internal Audit (Q4 2023). *Equipment Readiness Survey*.</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Myanmar Yangon</dc:title>
  <dc:creator/>
  <dc:language>en</dc:language>
  <cp:keywords/>
  <dcterms:created xsi:type="dcterms:W3CDTF">2026-04-29T07:19:46Z</dcterms:created>
  <dcterms:modified xsi:type="dcterms:W3CDTF">2026-04-29T07:19:46Z</dcterms:modified>
</cp:coreProperties>
</file>

<file path=docProps/custom.xml><?xml version="1.0" encoding="utf-8"?>
<Properties xmlns="http://schemas.openxmlformats.org/officeDocument/2006/custom-properties" xmlns:vt="http://schemas.openxmlformats.org/officeDocument/2006/docPropsVTypes"/>
</file>