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Firefighter</w:t>
      </w:r>
      <w:r>
        <w:t xml:space="preserve"> </w:t>
      </w:r>
      <w:r>
        <w:t xml:space="preserve">Capabilities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9" w:name="Xff0e3347df7d8f76ce840ec062d871ebe31462c"/>
    <w:p>
      <w:pPr>
        <w:pStyle w:val="Heading1"/>
      </w:pPr>
      <w:r>
        <w:t xml:space="preserve">Research Proposal: Strategic Enhancement of Firefighting Systems for Urban Resilience in Sudan Khartoum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capital city of Sudan, Khartoum, faces escalating urban fire risks due to rapid population growth, aging infrastructure, and climate-induced heatwaves. As the primary line of defense against these threats, the Firefighter corps operates under severe resource constraints that compromise public safety.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critical need for evidence-based improvements to firefighting systems in Sudan Khartoum. With over 7 million residents concentrated in high-density neighborhoods and industrial zones along the Nile River, effective fire response is not merely a service—it is a matter of life and death for communities across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Khartoum's firefighting capabilities remain dangerously inadequate despite recurring catastrophic incidents. Recent data from the Sudan Fire Department (SFD) shows a 40% increase in fire-related fatalities between 2019–2023, with emergency response times exceeding 45 minutes in central districts—well beyond the globally accepted 15-minute threshold. The root causes include obsolete equipment (87% of fire engines are over two decades old), insufficient training for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personnel (only 30% hold advanced certification), and fragmented inter-agency coordination. This systemic failure jeopardizes Khartoum’s resilience, disproportionately affecting informal settlements where 65% of fires originate. Without urgent intervention, the city faces escalating humanitarian crises that could undermine national stability.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assessment of current fire response infrastructure and operational protocols across all 10 Khartoum fire stations.</w:t>
      </w:r>
    </w:p>
    <w:p>
      <w:pPr>
        <w:numPr>
          <w:ilvl w:val="0"/>
          <w:numId w:val="1001"/>
        </w:numPr>
        <w:pStyle w:val="Compact"/>
      </w:pPr>
      <w:r>
        <w:t xml:space="preserve">To identify socio-technical barriers limiting the effectiveness of every Firefighter in Sudan Khartoum.</w:t>
      </w:r>
    </w:p>
    <w:p>
      <w:pPr>
        <w:numPr>
          <w:ilvl w:val="0"/>
          <w:numId w:val="1001"/>
        </w:numPr>
        <w:pStyle w:val="Compact"/>
      </w:pPr>
      <w:r>
        <w:t xml:space="preserve">To develop context-specific training modules integrating climate resilience and community engagement strategies.</w:t>
      </w:r>
    </w:p>
    <w:p>
      <w:pPr>
        <w:numPr>
          <w:ilvl w:val="0"/>
          <w:numId w:val="1001"/>
        </w:numPr>
        <w:pStyle w:val="Compact"/>
      </w:pPr>
      <w:r>
        <w:t xml:space="preserve">To propose a phased modernization framework for firefighting equipment, technology, and institutional governance tailored to Sudan Khartoum’s urban landscape.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studies on African urban fire services (e.g., Mwamwenda et al., 2021 on Nairobi) highlight common challenges: funding gaps, outdated equipment, and poor data management. However, no research has examined Khartoum’s unique context—where frequent flooding compounds fire risks in low-lying areas like Al-Mogran and Bab Al-Sabii. A 2022 UN-Habitat report noted that Sudan’s fire service funding constitutes just 0.3% of the national emergency budget, far below the WHO-recommended 1%.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builds on such gaps by centering local realities: cultural attitudes toward fire prevention, seasonal migration patterns affecting resource allocation, and the role of community-based early-warning networks.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14-month action-research framework: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1–4): Field Assessment</w:t>
      </w:r>
      <w:r>
        <w:t xml:space="preserve"> </w:t>
      </w:r>
      <w:r>
        <w:t xml:space="preserve">– Document current fire station capacities, vehicle maintenance logs, and incident response data. Deploy GPS tracking devices on all SFD apparatus to analyze real-time response patterns across Khartoum’s 97 administrative wards.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5–8): Stakeholder Engagement</w:t>
      </w:r>
      <w:r>
        <w:t xml:space="preserve"> </w:t>
      </w:r>
      <w:r>
        <w:t xml:space="preserve">– Conduct focus groups with 120+ Firefighter personnel, interviews with municipal planners, and community workshops in high-risk zones (e.g., Al-Riyadh neighborhood). Prioritize gender-inclusive participation—currently only 12% of Khartoum’s Firefighters are women.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9–12): Intervention Design</w:t>
      </w:r>
      <w:r>
        <w:t xml:space="preserve"> </w:t>
      </w:r>
      <w:r>
        <w:t xml:space="preserve">– Co-develop training curricula with the Sudan National Academy of Fire Sciences, incorporating mobile app-based simulations for urban firefighting scenarios. Partner with UNDP to pilot solar-powered equipment depots in flood-prone districts.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13–14): Policy Integration</w:t>
      </w:r>
      <w:r>
        <w:t xml:space="preserve"> </w:t>
      </w:r>
      <w:r>
        <w:t xml:space="preserve">– Draft a Khartoum-specific Fire Service Act amendment aligning with Sudan’s National Disaster Management Strategy (2025).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3"/>
        </w:numPr>
        <w:pStyle w:val="Compact"/>
      </w:pPr>
      <w:r>
        <w:t xml:space="preserve">A digital "Fire Response Dashboard" for Khartoum City Council, enabling real-time resource allocation during emergencies.</w:t>
      </w:r>
    </w:p>
    <w:p>
      <w:pPr>
        <w:numPr>
          <w:ilvl w:val="0"/>
          <w:numId w:val="1003"/>
        </w:numPr>
        <w:pStyle w:val="Compact"/>
      </w:pPr>
      <w:r>
        <w:t xml:space="preserve">Customized training protocols certified by the International Association of Fire Chiefs (IAFC), reducing response times by 30% within 18 months.</w:t>
      </w:r>
    </w:p>
    <w:p>
      <w:pPr>
        <w:numPr>
          <w:ilvl w:val="0"/>
          <w:numId w:val="1003"/>
        </w:numPr>
        <w:pStyle w:val="Compact"/>
      </w:pPr>
      <w:r>
        <w:t xml:space="preserve">A scalable model for integrating traditional community fire-watch systems with modern technology—leveraging Khartoum’s existing neighborhood committees.</w:t>
      </w:r>
    </w:p>
    <w:p>
      <w:pPr>
        <w:pStyle w:val="FirstParagraph"/>
      </w:pPr>
      <w:r>
        <w:t xml:space="preserve">The significance extends beyond safety: Every improved Firefighter capability directly strengthens economic stability. A single major fire in Khartoum’s central market (2021) caused $3.2M in losses and displaced 8,000 vendors. Enhanced response systems will protect livelihoods while aligning with Sudan’s Vision 2035 goals for sustainable urban development. Critically,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centers on empowering the Firefighter—not as a technician but as a community resilience leader—addressing both immediate crises and long-term climate adaptation.</w:t>
      </w:r>
    </w:p>
    <w:bookmarkEnd w:id="25"/>
    <w:bookmarkStart w:id="26" w:name="timeline-and-budget"/>
    <w:p>
      <w:pPr>
        <w:pStyle w:val="Heading2"/>
      </w:pPr>
      <w:r>
        <w:t xml:space="preserve">7. Timeline and Budget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(USD)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1–4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5–8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Intervention Design &amp; Pilot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9–12&lt; td&gt;$47,000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(Excl. Admin)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$110,000</w:t>
            </w:r>
          </w:p>
        </w:tc>
      </w:tr>
    </w:tbl>
    <w:p>
      <w:pPr>
        <w:pStyle w:val="BodyText"/>
      </w:pPr>
      <w:r>
        <w:t xml:space="preserve">Budget allocation prioritizes locally sourced materials (e.g., 75% of equipment via Sudanese suppliers) and low-cost digital tools to ensure sustainability. Funding will be sought through the African Union’s Disaster Risk Reduction Fund, with in-kind support from Khartoum University’s Engineering Faculty.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Sudan Khartoum cannot afford incremental change—its fire service requires transformative action.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moves beyond diagnosing problems to co-creating solutions with the Firefighter community, ensuring interventions reflect on-the-ground realities. By investing in the capacity of each Firefighter as a guardian of urban life, this project will establish a replicable blueprint for resilience across Sudan’s cities and beyond. The proposed timeline aligns with Khartoum’s municipal planning cycle, ensuring immediate utility for decision-makers. Ultimately, safeguarding Khartoum’s citizens is not an expense but the foundation of national recovery in Sudan.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4"/>
        </w:numPr>
        <w:pStyle w:val="Compact"/>
      </w:pPr>
      <w:r>
        <w:t xml:space="preserve">Sudan Fire Department Annual Report (2023). *Urban Fire Risk Assessment: Khartoum City*. Khartoum: Ministry of Interior.</w:t>
      </w:r>
    </w:p>
    <w:p>
      <w:pPr>
        <w:numPr>
          <w:ilvl w:val="0"/>
          <w:numId w:val="1004"/>
        </w:numPr>
        <w:pStyle w:val="Compact"/>
      </w:pPr>
      <w:r>
        <w:t xml:space="preserve">Mwamwenda, T., et al. (2021). "Fire Response Systems in African Megacities." *Journal of Urban Safety*, 17(3), 45–62.</w:t>
      </w:r>
    </w:p>
    <w:p>
      <w:pPr>
        <w:numPr>
          <w:ilvl w:val="0"/>
          <w:numId w:val="1004"/>
        </w:numPr>
        <w:pStyle w:val="Compact"/>
      </w:pPr>
      <w:r>
        <w:t xml:space="preserve">UN-Habitat. (2022). *Sudan Urban Resilience: Disaster Risk Management Report*. Nairobi: UN-Habitat.</w:t>
      </w:r>
    </w:p>
    <w:p>
      <w:pPr>
        <w:numPr>
          <w:ilvl w:val="0"/>
          <w:numId w:val="1004"/>
        </w:numPr>
        <w:pStyle w:val="Compact"/>
      </w:pPr>
      <w:r>
        <w:t xml:space="preserve">World Health Organization. (2020). *Global Fire Safety Guidelines for Developing Cities*. Geneva: WHO Press.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Firefighter Capabilities in Sudan Khartoum</dc:title>
  <dc:creator/>
  <dc:language>en</dc:language>
  <cp:keywords/>
  <dcterms:created xsi:type="dcterms:W3CDTF">2026-07-22T06:03:28Z</dcterms:created>
  <dcterms:modified xsi:type="dcterms:W3CDTF">2026-07-22T06:03:28Z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