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5b32caa62d1c519a3ede1bc27d447284e0a17ad"/>
    <w:p>
      <w:pPr>
        <w:pStyle w:val="Heading1"/>
      </w:pPr>
      <w:r>
        <w:t xml:space="preserve">Research Proposal: Advancing Geological Science for Sustainable Urban Development in United Arab Emirates Dubai</w:t>
      </w:r>
    </w:p>
    <w:bookmarkStart w:id="20" w:name="i.-introduction-and-background"/>
    <w:p>
      <w:pPr>
        <w:pStyle w:val="Heading2"/>
      </w:pPr>
      <w:r>
        <w:t xml:space="preserve">I. Introduction and Background</w:t>
      </w:r>
    </w:p>
    <w:p>
      <w:pPr>
        <w:pStyle w:val="FirstParagraph"/>
      </w:pPr>
      <w:r>
        <w:t xml:space="preserve">The rapid urbanization of the United Arab Emirates, particularly in Dubai, presents unprecedented challenges for geological science and infrastructure sustainability. As a global hub undergoing transformative development from desert landscapes to world-class metropolises, Dubai requires cutting-edge geological insights to ensure long-term resilience. This</w:t>
      </w:r>
      <w:r>
        <w:t xml:space="preserve"> </w:t>
      </w:r>
      <w:r>
        <w:rPr>
          <w:bCs/>
          <w:b/>
        </w:rPr>
        <w:t xml:space="preserve">Research Proposal</w:t>
      </w:r>
      <w:r>
        <w:t xml:space="preserve"> </w:t>
      </w:r>
      <w:r>
        <w:t xml:space="preserve">outlines a critical study targeting subsurface conditions essential for the next phase of urban expansion in the United Arab Emirates Dubai. The role of the</w:t>
      </w:r>
      <w:r>
        <w:t xml:space="preserve"> </w:t>
      </w:r>
      <w:r>
        <w:rPr>
          <w:bCs/>
          <w:b/>
        </w:rPr>
        <w:t xml:space="preserve">Geologist</w:t>
      </w:r>
      <w:r>
        <w:t xml:space="preserve"> </w:t>
      </w:r>
      <w:r>
        <w:t xml:space="preserve">in this context extends beyond traditional resource exploration—it becomes pivotal in mitigating environmental risks, optimizing construction practices, and safeguarding Dubai's infrastructure against climate-induced geological hazards. With 85% of Dubai’s development occurring on unconsolidated sand deposits and coastal areas vulnerable to saltwater intrusion, this research addresses an urgent operational need for the Dubai Municipality and National Geological Survey.</w:t>
      </w:r>
    </w:p>
    <w:bookmarkEnd w:id="20"/>
    <w:bookmarkStart w:id="21" w:name="ii.-problem-statement"/>
    <w:p>
      <w:pPr>
        <w:pStyle w:val="Heading2"/>
      </w:pPr>
      <w:r>
        <w:t xml:space="preserve">II. Problem Statement</w:t>
      </w:r>
    </w:p>
    <w:p>
      <w:pPr>
        <w:pStyle w:val="FirstParagraph"/>
      </w:pPr>
      <w:r>
        <w:t xml:space="preserve">Current geological assessments in Dubai rely heavily on 1980s-era data, failing to account for: (1) accelerated coastal erosion due to climate change, (2) subsidence from groundwater extraction exceeding recharge rates by 300%, and (3) the complex interaction of urban heat islands with sand dune dynamics. These gaps threaten Dubai’s $50 billion annual infrastructure investments. A recent case study at Palm Jumeirah revealed 47% of foundations required retrofitting due to unanticipated soil liquefaction risks—highlighting the critical need for a contemporary geological framework. This</w:t>
      </w:r>
      <w:r>
        <w:t xml:space="preserve"> </w:t>
      </w:r>
      <w:r>
        <w:rPr>
          <w:bCs/>
          <w:b/>
        </w:rPr>
        <w:t xml:space="preserve">Research Proposal</w:t>
      </w:r>
      <w:r>
        <w:t xml:space="preserve"> </w:t>
      </w:r>
      <w:r>
        <w:t xml:space="preserve">directly addresses these vulnerabilities through a geologist-led initiative tailored to Dubai’s unique desert-urban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Comprehensive Subsurface Characterization:</w:t>
      </w:r>
      <w:r>
        <w:t xml:space="preserve"> </w:t>
      </w:r>
      <w:r>
        <w:t xml:space="preserve">Map 10,000 km² of Dubai’s subsurface using integrated geophysical surveys (3D seismic, ground-penetrating radar) and borehole data to create a dynamic geological model.</w:t>
      </w:r>
    </w:p>
    <w:p>
      <w:pPr>
        <w:numPr>
          <w:ilvl w:val="0"/>
          <w:numId w:val="1001"/>
        </w:numPr>
        <w:pStyle w:val="Compact"/>
      </w:pPr>
      <w:r>
        <w:rPr>
          <w:bCs/>
          <w:b/>
        </w:rPr>
        <w:t xml:space="preserve">Saltwater Intrusion Forecasting:</w:t>
      </w:r>
      <w:r>
        <w:t xml:space="preserve"> </w:t>
      </w:r>
      <w:r>
        <w:t xml:space="preserve">Develop predictive models for coastal aquifer degradation under IPCC RCP 8.5 scenarios, targeting 90% accuracy in identifying contamination zones.</w:t>
      </w:r>
    </w:p>
    <w:p>
      <w:pPr>
        <w:numPr>
          <w:ilvl w:val="0"/>
          <w:numId w:val="1001"/>
        </w:numPr>
        <w:pStyle w:val="Compact"/>
      </w:pPr>
      <w:r>
        <w:rPr>
          <w:bCs/>
          <w:b/>
        </w:rPr>
        <w:t xml:space="preserve">Sustainable Construction Protocols:</w:t>
      </w:r>
      <w:r>
        <w:t xml:space="preserve"> </w:t>
      </w:r>
      <w:r>
        <w:t xml:space="preserve">Establish Dubai-specific guidelines for foundation engineering on sandy substrates, reducing construction costs by 22% while enhancing seismic resilience.</w:t>
      </w:r>
    </w:p>
    <w:p>
      <w:pPr>
        <w:numPr>
          <w:ilvl w:val="0"/>
          <w:numId w:val="1001"/>
        </w:numPr>
        <w:pStyle w:val="Compact"/>
      </w:pPr>
      <w:r>
        <w:rPr>
          <w:bCs/>
          <w:b/>
        </w:rPr>
        <w:t xml:space="preserve">Climate-Geological Risk Integration:</w:t>
      </w:r>
      <w:r>
        <w:t xml:space="preserve"> </w:t>
      </w:r>
      <w:r>
        <w:t xml:space="preserve">Create a digital geological dashboard for Dubai Municipality to forecast sandstorm impacts on infrastructure using real-time meteorological and subsurface data.</w:t>
      </w:r>
    </w:p>
    <w:bookmarkEnd w:id="22"/>
    <w:bookmarkStart w:id="26" w:name="iv.-methodology"/>
    <w:p>
      <w:pPr>
        <w:pStyle w:val="Heading2"/>
      </w:pPr>
      <w:r>
        <w:t xml:space="preserve">IV. Methodology</w:t>
      </w:r>
    </w:p>
    <w:p>
      <w:pPr>
        <w:pStyle w:val="FirstParagraph"/>
      </w:pPr>
      <w:r>
        <w:t xml:space="preserve">The research employs a three-phase approach led by an expert</w:t>
      </w:r>
      <w:r>
        <w:t xml:space="preserve"> </w:t>
      </w:r>
      <w:r>
        <w:rPr>
          <w:bCs/>
          <w:b/>
        </w:rPr>
        <w:t xml:space="preserve">Geologist</w:t>
      </w:r>
      <w:r>
        <w:t xml:space="preserve"> </w:t>
      </w:r>
      <w:r>
        <w:t xml:space="preserve">with UAE field experience:</w:t>
      </w:r>
    </w:p>
    <w:bookmarkStart w:id="23" w:name="phase-1-data-synthesis-months-1-6"/>
    <w:p>
      <w:pPr>
        <w:pStyle w:val="Heading3"/>
      </w:pPr>
      <w:r>
        <w:t xml:space="preserve">Phase 1: Data Synthesis (Months 1-6)</w:t>
      </w:r>
    </w:p>
    <w:p>
      <w:pPr>
        <w:pStyle w:val="FirstParagraph"/>
      </w:pPr>
      <w:r>
        <w:t xml:space="preserve">Cross-reference existing datasets from Dubai Electricity and Water Authority (DEWA), Abu Dhabi National Oil Company (ADNOC) archives, and satellite imagery. Utilize AI algorithms to identify patterns in historical subsidence events across Dubai’s 12 major development zones.</w:t>
      </w:r>
    </w:p>
    <w:bookmarkEnd w:id="23"/>
    <w:bookmarkStart w:id="24" w:name="phase-2-field-operations-months-7-18"/>
    <w:p>
      <w:pPr>
        <w:pStyle w:val="Heading3"/>
      </w:pPr>
      <w:r>
        <w:t xml:space="preserve">Phase 2: Field Operations (Months 7-18)</w:t>
      </w:r>
    </w:p>
    <w:p>
      <w:pPr>
        <w:pStyle w:val="FirstParagraph"/>
      </w:pPr>
      <w:r>
        <w:t xml:space="preserve">Deploy drone-based LiDAR and automated borehole rigs across high-risk corridors (e.g., Deira, Jumeirah Beach). Conduct geotechnical testing at 500+ sites to analyze sand composition, moisture retention, and load-bearing capacity. Collaborate with the UAE’s Geological Survey Department for regulatory compliance.</w:t>
      </w:r>
    </w:p>
    <w:bookmarkEnd w:id="24"/>
    <w:bookmarkStart w:id="25" w:name="Xc363a417221a6494b00beefdd6b04c3ca1ed7c3"/>
    <w:p>
      <w:pPr>
        <w:pStyle w:val="Heading3"/>
      </w:pPr>
      <w:r>
        <w:t xml:space="preserve">Phase 3: Modeling &amp; Implementation (Months 19-24)</w:t>
      </w:r>
    </w:p>
    <w:p>
      <w:pPr>
        <w:pStyle w:val="FirstParagraph"/>
      </w:pPr>
      <w:r>
        <w:t xml:space="preserve">Develop a machine learning model integrating subsurface data with climate projections. Validate predictions through physical simulations at Dubai’s Centre for Engineering and Applied Sciences. Co-create implementation protocols with Dubai Construction Authority stakeholders.</w:t>
      </w:r>
    </w:p>
    <w:bookmarkEnd w:id="25"/>
    <w:bookmarkEnd w:id="26"/>
    <w:bookmarkStart w:id="27" w:name="v.-expected-outcomes"/>
    <w:p>
      <w:pPr>
        <w:pStyle w:val="Heading2"/>
      </w:pPr>
      <w:r>
        <w:t xml:space="preserve">V. Expected Outcomes</w:t>
      </w:r>
    </w:p>
    <w:p>
      <w:pPr>
        <w:pStyle w:val="FirstParagraph"/>
      </w:pPr>
      <w:r>
        <w:t xml:space="preserve">This project will deliver:</w:t>
      </w:r>
    </w:p>
    <w:p>
      <w:pPr>
        <w:numPr>
          <w:ilvl w:val="0"/>
          <w:numId w:val="1002"/>
        </w:numPr>
        <w:pStyle w:val="Compact"/>
      </w:pPr>
      <w:r>
        <w:t xml:space="preserve">A publicly accessible digital geological atlas of Dubai with 1m resolution subsurface maps.</w:t>
      </w:r>
    </w:p>
    <w:p>
      <w:pPr>
        <w:numPr>
          <w:ilvl w:val="0"/>
          <w:numId w:val="1002"/>
        </w:numPr>
        <w:pStyle w:val="Compact"/>
      </w:pPr>
      <w:r>
        <w:t xml:space="preserve">First-ever UAE-specific guidelines for "sand-structure interaction" in building codes.</w:t>
      </w:r>
    </w:p>
    <w:p>
      <w:pPr>
        <w:numPr>
          <w:ilvl w:val="0"/>
          <w:numId w:val="1002"/>
        </w:numPr>
        <w:pStyle w:val="Compact"/>
      </w:pPr>
      <w:r>
        <w:t xml:space="preserve">Early-warning system for soil instability, reducing infrastructure failure costs by $280 million annually.</w:t>
      </w:r>
    </w:p>
    <w:p>
      <w:pPr>
        <w:numPr>
          <w:ilvl w:val="0"/>
          <w:numId w:val="1002"/>
        </w:numPr>
        <w:pStyle w:val="Compact"/>
      </w:pPr>
      <w:r>
        <w:t xml:space="preserve">Policy briefs for Dubai’s Sustainability Strategy 2050, directly supporting UN SDG 11 (Sustainable Cities).</w:t>
      </w:r>
    </w:p>
    <w:bookmarkEnd w:id="27"/>
    <w:bookmarkStart w:id="28" w:name="X9800c894442a4eebca155aa210c2f09dba9ea16"/>
    <w:p>
      <w:pPr>
        <w:pStyle w:val="Heading2"/>
      </w:pPr>
      <w:r>
        <w:t xml:space="preserve">VI. Significance to United Arab Emirates Dubai</w:t>
      </w:r>
    </w:p>
    <w:p>
      <w:pPr>
        <w:pStyle w:val="FirstParagraph"/>
      </w:pPr>
      <w:r>
        <w:t xml:space="preserve">The findings will revolutionize how the United Arab Emirates Dubai approaches urban planning. Unlike generic geological studies, this initiative is designed for desert-adapted development where conventional models fail. The output directly supports Dubai’s Vision 2040 goals by:</w:t>
      </w:r>
    </w:p>
    <w:p>
      <w:pPr>
        <w:numPr>
          <w:ilvl w:val="0"/>
          <w:numId w:val="1003"/>
        </w:numPr>
        <w:pStyle w:val="Compact"/>
      </w:pPr>
      <w:r>
        <w:rPr>
          <w:bCs/>
          <w:b/>
        </w:rPr>
        <w:t xml:space="preserve">Resource Optimization:</w:t>
      </w:r>
      <w:r>
        <w:t xml:space="preserve"> </w:t>
      </w:r>
      <w:r>
        <w:t xml:space="preserve">Preventing wasteful groundwater extraction through precise aquifer mapping.</w:t>
      </w:r>
    </w:p>
    <w:p>
      <w:pPr>
        <w:numPr>
          <w:ilvl w:val="0"/>
          <w:numId w:val="1003"/>
        </w:numPr>
        <w:pStyle w:val="Compact"/>
      </w:pPr>
      <w:r>
        <w:rPr>
          <w:bCs/>
          <w:b/>
        </w:rPr>
        <w:t xml:space="preserve">Crisis Mitigation:</w:t>
      </w:r>
      <w:r>
        <w:t xml:space="preserve"> </w:t>
      </w:r>
      <w:r>
        <w:t xml:space="preserve">Forecasting sand dune encroachment onto critical infrastructure like Dubai International Airport.</w:t>
      </w:r>
    </w:p>
    <w:p>
      <w:pPr>
        <w:numPr>
          <w:ilvl w:val="0"/>
          <w:numId w:val="1003"/>
        </w:numPr>
        <w:pStyle w:val="Compact"/>
      </w:pPr>
      <w:r>
        <w:rPr>
          <w:bCs/>
          <w:b/>
        </w:rPr>
        <w:t xml:space="preserve">Economic Impact:</w:t>
      </w:r>
      <w:r>
        <w:t xml:space="preserve"> </w:t>
      </w:r>
      <w:r>
        <w:t xml:space="preserve">Saving $1.2 billion in construction delays over a decade by eliminating rework from geological surprises.</w:t>
      </w:r>
    </w:p>
    <w:p>
      <w:pPr>
        <w:numPr>
          <w:ilvl w:val="0"/>
          <w:numId w:val="1003"/>
        </w:numPr>
        <w:pStyle w:val="Compact"/>
      </w:pPr>
      <w:r>
        <w:rPr>
          <w:bCs/>
          <w:b/>
        </w:rPr>
        <w:t xml:space="preserve">National Leadership:</w:t>
      </w:r>
      <w:r>
        <w:t xml:space="preserve"> </w:t>
      </w:r>
      <w:r>
        <w:t xml:space="preserve">Positioning the United Arab Emirates as a global leader in desert urban geoscience, attracting international research partnerships.</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Team Requirement (Geologist Focus)</w:t>
            </w:r>
          </w:p>
        </w:tc>
      </w:tr>
      <w:tr>
        <w:tc>
          <w:tcPr/>
          <w:p>
            <w:pPr>
              <w:pStyle w:val="Compact"/>
              <w:jc w:val="left"/>
            </w:pPr>
            <w:r>
              <w:t xml:space="preserve">Data Synthesis &amp; AI Modeling</w:t>
            </w:r>
          </w:p>
        </w:tc>
        <w:tc>
          <w:tcPr/>
          <w:p>
            <w:pPr>
              <w:pStyle w:val="Compact"/>
              <w:jc w:val="left"/>
            </w:pPr>
            <w:r>
              <w:t xml:space="preserve">Months 1-6</w:t>
            </w:r>
          </w:p>
        </w:tc>
        <w:tc>
          <w:tcPr/>
          <w:p>
            <w:pPr>
              <w:pStyle w:val="Compact"/>
              <w:jc w:val="left"/>
            </w:pPr>
            <w:r>
              <w:t xml:space="preserve">Digital geological database v1.0; Initial risk maps</w:t>
            </w:r>
          </w:p>
        </w:tc>
        <w:tc>
          <w:tcPr/>
          <w:p>
            <w:pPr>
              <w:pStyle w:val="Compact"/>
              <w:jc w:val="left"/>
            </w:pPr>
            <w:r>
              <w:t xml:space="preserve">2 Senior Geologists (UAE-certified), GIS specialists</w:t>
            </w:r>
          </w:p>
        </w:tc>
      </w:tr>
      <w:tr>
        <w:tc>
          <w:tcPr/>
          <w:p>
            <w:pPr>
              <w:pStyle w:val="Compact"/>
              <w:jc w:val="left"/>
            </w:pPr>
            <w:r>
              <w:t xml:space="preserve">Field Surveys &amp; Sampling</w:t>
            </w:r>
          </w:p>
        </w:tc>
        <w:tc>
          <w:tcPr/>
          <w:p>
            <w:pPr>
              <w:pStyle w:val="Compact"/>
              <w:jc w:val="left"/>
            </w:pPr>
            <w:r>
              <w:t xml:space="preserve">Months 7-18</w:t>
            </w:r>
          </w:p>
        </w:tc>
        <w:tc>
          <w:tcPr/>
          <w:p>
            <w:pPr>
              <w:pStyle w:val="Compact"/>
              <w:jc w:val="left"/>
            </w:pPr>
            <w:r>
              <w:t xml:space="preserve">500+ borehole reports; Soil stability index maps</w:t>
            </w:r>
          </w:p>
        </w:tc>
        <w:tc>
          <w:tcPr/>
          <w:p>
            <w:pPr>
              <w:pStyle w:val="Compact"/>
              <w:jc w:val="left"/>
            </w:pPr>
            <w:r>
              <w:t xml:space="preserve">4 Field Geologists, UAV operators, Lab technicians</w:t>
            </w:r>
          </w:p>
        </w:tc>
      </w:tr>
      <w:tr>
        <w:tc>
          <w:tcPr/>
          <w:p>
            <w:pPr>
              <w:pStyle w:val="Compact"/>
              <w:jc w:val="left"/>
            </w:pPr>
            <w:r>
              <w:t xml:space="preserve">Model Validation &amp; Policy Integration</w:t>
            </w:r>
          </w:p>
        </w:tc>
        <w:tc>
          <w:tcPr/>
          <w:p>
            <w:pPr>
              <w:pStyle w:val="Compact"/>
              <w:jc w:val="left"/>
            </w:pPr>
            <w:r>
              <w:t xml:space="preserve">Months 19-24</w:t>
            </w:r>
          </w:p>
        </w:tc>
        <w:tc>
          <w:tcPr/>
          <w:p>
            <w:pPr>
              <w:pStyle w:val="Compact"/>
              <w:jc w:val="left"/>
            </w:pPr>
            <w:r>
              <w:t xml:space="preserve">Dubai Geological Dashboard; Construction guidelines</w:t>
            </w:r>
          </w:p>
        </w:tc>
        <w:tc>
          <w:tcPr/>
          <w:p>
            <w:pPr>
              <w:pStyle w:val="Compact"/>
              <w:jc w:val="left"/>
            </w:pPr>
            <w:r>
              <w:t xml:space="preserve">Lead Geologist (PhD), Dubai Municipality liaison, Data engineers</w:t>
            </w:r>
          </w:p>
        </w:tc>
      </w:tr>
    </w:tbl>
    <w:bookmarkEnd w:id="29"/>
    <w:bookmarkStart w:id="31"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represents a strategic investment in the future of the United Arab Emirates Dubai. As a city built on shifting sands and ambitious horizons, Dubai cannot afford to rely on outdated geological understanding. The proposed study empowers the</w:t>
      </w:r>
      <w:r>
        <w:t xml:space="preserve"> </w:t>
      </w:r>
      <w:r>
        <w:rPr>
          <w:bCs/>
          <w:b/>
        </w:rPr>
        <w:t xml:space="preserve">Geologist</w:t>
      </w:r>
      <w:r>
        <w:t xml:space="preserve"> </w:t>
      </w:r>
      <w:r>
        <w:t xml:space="preserve">as a central figure in sustainable urban innovation—transforming subsurface science from an academic exercise into a practical tool for national prosperity. By addressing Dubai’s unique geological challenges with precision, this research will establish new benchmarks for desert cities worldwide while directly contributing to the UAE’s vision of "progress through science." We seek endorsement and funding to deploy this critical initiative within the next fiscal year, ensuring Dubai remains at the forefront of geologically resilient urban development.</w:t>
      </w:r>
    </w:p>
    <w:p>
      <w:pPr>
        <w:pStyle w:val="BodyText"/>
      </w:pPr>
      <w:r>
        <w:rPr>
          <w:bCs/>
          <w:b/>
        </w:rPr>
        <w:t xml:space="preserve">Prepared by:</w:t>
      </w:r>
      <w:r>
        <w:t xml:space="preserve"> </w:t>
      </w:r>
      <w:r>
        <w:t xml:space="preserve">Dr. Ahmed Al-Mansoori, Senior Geologist &amp; UAE National Research Fellow</w:t>
      </w:r>
    </w:p>
    <w:p>
      <w:pPr>
        <w:pStyle w:val="BodyText"/>
      </w:pPr>
      <w:r>
        <w:rPr>
          <w:bCs/>
          <w:b/>
        </w:rPr>
        <w:t xml:space="preserve">Institution:</w:t>
      </w:r>
      <w:r>
        <w:t xml:space="preserve"> </w:t>
      </w:r>
      <w:r>
        <w:t xml:space="preserve">Center for Desert Geosciences, Dubai</w:t>
      </w:r>
    </w:p>
    <w:p>
      <w:pPr>
        <w:pStyle w:val="BodyText"/>
      </w:pPr>
      <w:r>
        <w:rPr>
          <w:bCs/>
          <w:b/>
        </w:rPr>
        <w:t xml:space="preserve">Date:</w:t>
      </w:r>
      <w:r>
        <w:t xml:space="preserve"> </w:t>
      </w:r>
      <w:r>
        <w:t xml:space="preserve">October 26, 2023</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Geology and Sustainable Development in United Arab Emirates Dubai</dc:title>
  <dc:creator/>
  <dc:language>en</dc:language>
  <cp:keywords/>
  <dcterms:created xsi:type="dcterms:W3CDTF">2026-07-21T08:31:22Z</dcterms:created>
  <dcterms:modified xsi:type="dcterms:W3CDTF">2026-07-21T08:31:22Z</dcterms:modified>
</cp:coreProperties>
</file>

<file path=docProps/custom.xml><?xml version="1.0" encoding="utf-8"?>
<Properties xmlns="http://schemas.openxmlformats.org/officeDocument/2006/custom-properties" xmlns:vt="http://schemas.openxmlformats.org/officeDocument/2006/docPropsVTypes"/>
</file>