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33" w:name="X186bc74708a1188864a0ae66a6710e5147ef7bc"/>
    <w:p>
      <w:pPr>
        <w:pStyle w:val="Heading1"/>
      </w:pPr>
      <w:r>
        <w:t xml:space="preserve">Research Proposal: The Evolving Role of Graphic Designers in Australia Melbourne's Creative Industry Ecosystem</w:t>
      </w:r>
    </w:p>
    <w:bookmarkStart w:id="20" w:name="introduction-and-contextual-significance"/>
    <w:p>
      <w:pPr>
        <w:pStyle w:val="Heading2"/>
      </w:pPr>
      <w:r>
        <w:t xml:space="preserve">1. Introduction and Contextual Significance</w:t>
      </w:r>
    </w:p>
    <w:p>
      <w:pPr>
        <w:pStyle w:val="FirstParagraph"/>
      </w:pPr>
      <w:r>
        <w:t xml:space="preserve">In the dynamic cultural and economic landscape of Australia Melbourne, the creative industries constitute a vital sector contributing over $3.8 billion annually to Victoria's economy (Creative Victoria, 2023). Within this vibrant ecosystem, the role of the Graphic Designer has undergone profound transformation, necessitating a comprehensive investigation into contemporary professional realities. This Research Proposal addresses critical gaps in understanding how Melbourne-based Graphic Designers navigate technological disruption, shifting client expectations, and evolving market demands within Australia's creative capital. As Australia Melbourne solidifies its position as a global design hub—ranked 19th worldwide for design excellence by AIGA (2023)—this study becomes essential for stakeholders including educational institutions, industry bodies like the Australian Graphic Design Association (AGDA), and emerging practitioners.</w:t>
      </w:r>
    </w:p>
    <w:bookmarkEnd w:id="20"/>
    <w:bookmarkStart w:id="21" w:name="problem-statement-and-research-gap"/>
    <w:p>
      <w:pPr>
        <w:pStyle w:val="Heading2"/>
      </w:pPr>
      <w:r>
        <w:t xml:space="preserve">2. Problem Statement and Research Gap</w:t>
      </w:r>
    </w:p>
    <w:p>
      <w:pPr>
        <w:pStyle w:val="FirstParagraph"/>
      </w:pPr>
      <w:r>
        <w:t xml:space="preserve">Despite Melbourne's reputation as Australia's creative capital, current literature fails to capture the nuanced professional evolution of the Graphic Designer in this specific context. Existing studies (e.g., Smith &amp; Chen, 2021) focus on broad Australian trends but overlook Melbourne's unique cultural ecosystem, including its significant Indigenous design influences and Asia-Pacific market connections. Crucially, no research has examined how emerging technologies like AI-driven design tools and immersive media are reshaping the day-to-day practice of a Graphic Designer in Australia Melbourne. This gap impedes effective workforce development, as educational programs remain misaligned with industry needs (AGDA Workforce Report, 2023), while practitioners struggle to adapt to market volatility following post-pandemic digital acceleration.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challenges and opportunities facing Graphic Designers operating within Australia Melbourne's creative sector.</w:t>
      </w:r>
    </w:p>
    <w:p>
      <w:pPr>
        <w:numPr>
          <w:ilvl w:val="0"/>
          <w:numId w:val="1001"/>
        </w:numPr>
        <w:pStyle w:val="Compact"/>
      </w:pPr>
      <w:r>
        <w:t xml:space="preserve">To analyze the impact of digital transformation (AI, AR/VR) on core design workflows and skill requirements for a Graphic Designer in this context.</w:t>
      </w:r>
    </w:p>
    <w:p>
      <w:pPr>
        <w:numPr>
          <w:ilvl w:val="0"/>
          <w:numId w:val="1001"/>
        </w:numPr>
        <w:pStyle w:val="Compact"/>
      </w:pPr>
      <w:r>
        <w:t xml:space="preserve">To develop evidence-based recommendations for educational curricula, industry training frameworks, and professional development pathways tailored to the Australia Melbourne market.</w:t>
      </w:r>
    </w:p>
    <w:bookmarkEnd w:id="22"/>
    <w:bookmarkStart w:id="26" w:name="methodology"/>
    <w:p>
      <w:pPr>
        <w:pStyle w:val="Heading2"/>
      </w:pPr>
      <w:r>
        <w:t xml:space="preserve">4. Methodology</w:t>
      </w:r>
    </w:p>
    <w:p>
      <w:pPr>
        <w:pStyle w:val="FirstParagraph"/>
      </w:pPr>
      <w:r>
        <w:t xml:space="preserve">This mixed-methods Research Proposal employs a triangulated approach designed specifically for the Australia Melbourne context:</w:t>
      </w:r>
    </w:p>
    <w:bookmarkStart w:id="23" w:name="phase-1-quantitative-analysis-months-1-3"/>
    <w:p>
      <w:pPr>
        <w:pStyle w:val="Heading3"/>
      </w:pPr>
      <w:r>
        <w:t xml:space="preserve">Phase 1: Quantitative Analysis (Months 1-3)</w:t>
      </w:r>
    </w:p>
    <w:p>
      <w:pPr>
        <w:pStyle w:val="FirstParagraph"/>
      </w:pPr>
      <w:r>
        <w:t xml:space="preserve">A structured online survey targeting 250+ practicing Graphic Designers registered with AGDA Victoria and active in Melbourne-based studios/ agencies. Variables will include: technological proficiency (AI tools, motion design), project types (digital vs. print), sector specialization, hourly rates, and self-reported professional challenges. Stratified sampling will ensure representation across seniority levels (junior to director) and specializations (branding, UX/UI, editorial).</w:t>
      </w:r>
    </w:p>
    <w:bookmarkEnd w:id="23"/>
    <w:bookmarkStart w:id="24" w:name="X954556ba7cdad3245e8c30b75e51daee01b26ff"/>
    <w:p>
      <w:pPr>
        <w:pStyle w:val="Heading3"/>
      </w:pPr>
      <w:r>
        <w:t xml:space="preserve">Phase 2: Qualitative Exploration (Months 4-6)</w:t>
      </w:r>
    </w:p>
    <w:p>
      <w:pPr>
        <w:pStyle w:val="FirstParagraph"/>
      </w:pPr>
      <w:r>
        <w:t xml:space="preserve">Semi-structured interviews with 30 key industry practitioners representing Melbourne's creative spectrum: established studios (e.g., Landor &amp; Fitch Australia), digital agencies (e.g., The Design Studio), and emerging independent Graphic Designers. Critical focus areas include:</w:t>
      </w:r>
    </w:p>
    <w:p>
      <w:pPr>
        <w:numPr>
          <w:ilvl w:val="0"/>
          <w:numId w:val="1002"/>
        </w:numPr>
        <w:pStyle w:val="Compact"/>
      </w:pPr>
      <w:r>
        <w:t xml:space="preserve">How "creative problem-solving" is redefined with AI-assisted tools</w:t>
      </w:r>
    </w:p>
    <w:p>
      <w:pPr>
        <w:numPr>
          <w:ilvl w:val="0"/>
          <w:numId w:val="1002"/>
        </w:numPr>
        <w:pStyle w:val="Compact"/>
      </w:pPr>
      <w:r>
        <w:t xml:space="preserve">Adaptation strategies for Melbourne's unique client demands (e.g., sustainability-focused branding, Indigenous cultural protocols)</w:t>
      </w:r>
    </w:p>
    <w:p>
      <w:pPr>
        <w:numPr>
          <w:ilvl w:val="0"/>
          <w:numId w:val="1002"/>
        </w:numPr>
        <w:pStyle w:val="Compact"/>
      </w:pPr>
      <w:r>
        <w:t xml:space="preserve">Negotiation dynamics in Australia Melbourne's competitive freelance market</w:t>
      </w:r>
    </w:p>
    <w:bookmarkEnd w:id="24"/>
    <w:bookmarkStart w:id="25" w:name="X3f7699fde05e4771c07bc2277adc63c35fb8aff"/>
    <w:p>
      <w:pPr>
        <w:pStyle w:val="Heading3"/>
      </w:pPr>
      <w:r>
        <w:t xml:space="preserve">Phase 3: Comparative Industry Benchmarking (Months 7-8)</w:t>
      </w:r>
    </w:p>
    <w:p>
      <w:pPr>
        <w:pStyle w:val="FirstParagraph"/>
      </w:pPr>
      <w:r>
        <w:t xml:space="preserve">Analytical comparison against international design hubs (London, Berlin, Tokyo) to contextualize Melbourne's position within global creative economies. This includes examining salary benchmarks, skill demand patterns from LinkedIn Talent Insights (2024), and cultural adaptation strategies specific to Australia Melbourne's multicultural demographic.</w:t>
      </w:r>
    </w:p>
    <w:bookmarkEnd w:id="25"/>
    <w:bookmarkEnd w:id="26"/>
    <w:bookmarkStart w:id="27" w:name="X730b1d09c35d14bc4a613bda47e55fb7cb04355"/>
    <w:p>
      <w:pPr>
        <w:pStyle w:val="Heading2"/>
      </w:pPr>
      <w:r>
        <w:t xml:space="preserve">5. Significance of the Research for Australia Melbourne</w:t>
      </w:r>
    </w:p>
    <w:p>
      <w:pPr>
        <w:pStyle w:val="FirstParagraph"/>
      </w:pPr>
      <w:r>
        <w:t xml:space="preserve">This Research Proposal delivers immediate value to multiple stakeholders in the Australia Melbourne creative ecosystem:</w:t>
      </w:r>
    </w:p>
    <w:p>
      <w:pPr>
        <w:numPr>
          <w:ilvl w:val="0"/>
          <w:numId w:val="1003"/>
        </w:numPr>
        <w:pStyle w:val="Compact"/>
      </w:pPr>
      <w:r>
        <w:rPr>
          <w:bCs/>
          <w:b/>
        </w:rPr>
        <w:t xml:space="preserve">Educational Institutions:</w:t>
      </w:r>
      <w:r>
        <w:t xml:space="preserve"> </w:t>
      </w:r>
      <w:r>
        <w:t xml:space="preserve">Findings will directly inform curriculum updates at RMIT University, Swinburne, and VCA Design School—ensuring Graphic Designer training aligns with Melbourne's market realities.</w:t>
      </w:r>
    </w:p>
    <w:p>
      <w:pPr>
        <w:numPr>
          <w:ilvl w:val="0"/>
          <w:numId w:val="1003"/>
        </w:numPr>
        <w:pStyle w:val="Compact"/>
      </w:pPr>
      <w:r>
        <w:rPr>
          <w:bCs/>
          <w:b/>
        </w:rPr>
        <w:t xml:space="preserve">Industry Bodies:</w:t>
      </w:r>
      <w:r>
        <w:t xml:space="preserve"> </w:t>
      </w:r>
      <w:r>
        <w:t xml:space="preserve">AGDA Victoria will use results to develop targeted professional development programs addressing identified skill gaps (e.g., "AI Integration for Creative Practitioners" workshops).</w:t>
      </w:r>
    </w:p>
    <w:p>
      <w:pPr>
        <w:numPr>
          <w:ilvl w:val="0"/>
          <w:numId w:val="1003"/>
        </w:numPr>
        <w:pStyle w:val="Compact"/>
      </w:pPr>
      <w:r>
        <w:rPr>
          <w:bCs/>
          <w:b/>
        </w:rPr>
        <w:t xml:space="preserve">Practitioners:</w:t>
      </w:r>
      <w:r>
        <w:t xml:space="preserve"> </w:t>
      </w:r>
      <w:r>
        <w:t xml:space="preserve">Provides evidence-based career navigation strategies for Graphic Designers facing market volatility, particularly in Australia Melbourne's high-cost environment.</w:t>
      </w:r>
    </w:p>
    <w:p>
      <w:pPr>
        <w:numPr>
          <w:ilvl w:val="0"/>
          <w:numId w:val="1003"/>
        </w:numPr>
        <w:pStyle w:val="Compact"/>
      </w:pPr>
      <w:r>
        <w:rPr>
          <w:bCs/>
          <w:b/>
        </w:rPr>
        <w:t xml:space="preserve">Economic Development:</w:t>
      </w:r>
      <w:r>
        <w:t xml:space="preserve"> </w:t>
      </w:r>
      <w:r>
        <w:t xml:space="preserve">Informs state government initiatives like Creative Victoria's "Design for Growth" strategy, strengthening Melbourne's position as a global design destination within the broader Australia creative economy framework.</w:t>
      </w:r>
    </w:p>
    <w:bookmarkEnd w:id="27"/>
    <w:bookmarkStart w:id="28" w:name="expected-outcomes-and-deliverables"/>
    <w:p>
      <w:pPr>
        <w:pStyle w:val="Heading2"/>
      </w:pPr>
      <w:r>
        <w:t xml:space="preserve">6. Expected Outcomes and Deliverables</w:t>
      </w:r>
    </w:p>
    <w:p>
      <w:pPr>
        <w:pStyle w:val="FirstParagraph"/>
      </w:pPr>
      <w:r>
        <w:t xml:space="preserve">The Research Proposal anticipates three core outcomes:</w:t>
      </w:r>
    </w:p>
    <w:p>
      <w:pPr>
        <w:numPr>
          <w:ilvl w:val="0"/>
          <w:numId w:val="1004"/>
        </w:numPr>
        <w:pStyle w:val="Compact"/>
      </w:pPr>
      <w:r>
        <w:t xml:space="preserve">A comprehensive industry report titled "The Melbourne Graphic Designer: Navigating Change in Australia's Creative Capital" (15,000 words), published by AGDA Victoria with executive summaries for policymakers.</w:t>
      </w:r>
    </w:p>
    <w:p>
      <w:pPr>
        <w:numPr>
          <w:ilvl w:val="0"/>
          <w:numId w:val="1004"/>
        </w:numPr>
        <w:pStyle w:val="Compact"/>
      </w:pPr>
      <w:r>
        <w:t xml:space="preserve">A dynamic digital skills dashboard mapping emerging competencies required of a Graphic Designer in Australia Melbourne (e.g., AI prompt engineering, accessibility compliance, cross-cultural branding).</w:t>
      </w:r>
    </w:p>
    <w:p>
      <w:pPr>
        <w:numPr>
          <w:ilvl w:val="0"/>
          <w:numId w:val="1004"/>
        </w:numPr>
        <w:pStyle w:val="Compact"/>
      </w:pPr>
      <w:r>
        <w:t xml:space="preserve">Policy recommendations for Creative Victoria and the Victorian Government to support creative workforce resilience through targeted grants and tax incentives for design education.</w:t>
      </w:r>
    </w:p>
    <w:bookmarkEnd w:id="28"/>
    <w:bookmarkStart w:id="29" w:name="ethical-considerations"/>
    <w:p>
      <w:pPr>
        <w:pStyle w:val="Heading2"/>
      </w:pPr>
      <w:r>
        <w:t xml:space="preserve">7. Ethical Considerations</w:t>
      </w:r>
    </w:p>
    <w:p>
      <w:pPr>
        <w:pStyle w:val="FirstParagraph"/>
      </w:pPr>
      <w:r>
        <w:t xml:space="preserve">All research will adhere to the National Statement on Ethical Conduct in Human Research (2007). Participant anonymity will be preserved through de-identified coding of interview transcripts. Special attention will be given to ethical engagement with Indigenous design practitioners, involving consultation with Wurundjeri Woi Wurrung Cultural Heritage Aboriginal Corporation for culturally safe methodology. Data security protocols comply with Victorian Privacy Principles.</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7-8</w:t>
      </w:r>
    </w:p>
    <w:p>
      <w:pPr>
        <w:pStyle w:val="BodyText"/>
      </w:pPr>
      <w:r>
        <w:t xml:space="preserve">Data Collection &amp; Survey Deployment</w:t>
      </w:r>
    </w:p>
    <w:p>
      <w:pPr>
        <w:pStyle w:val="BodyText"/>
      </w:pPr>
      <w:r>
        <w:t xml:space="preserve">√</w:t>
      </w:r>
    </w:p>
    <w:p>
      <w:pPr>
        <w:pStyle w:val="BodyText"/>
      </w:pPr>
      <w:r>
        <w:t xml:space="preserve">Interview Conduct &amp; Transcription</w:t>
      </w:r>
    </w:p>
    <w:p>
      <w:pPr>
        <w:pStyle w:val="BodyText"/>
      </w:pPr>
      <w:r>
        <w:t xml:space="preserve">√</w:t>
      </w:r>
    </w:p>
    <w:p>
      <w:pPr>
        <w:pStyle w:val="BodyText"/>
      </w:pPr>
      <w:r>
        <w:t xml:space="preserve">Data Analysis &amp; Benchmarking</w:t>
      </w:r>
    </w:p>
    <w:p>
      <w:pPr>
        <w:pStyle w:val="BodyText"/>
      </w:pPr>
      <w:r>
        <w:t xml:space="preserve">√</w:t>
      </w:r>
      <w:r>
        <w:br/>
      </w:r>
      <w:r>
        <w:t xml:space="preserve">(Qualitative) √ (Quantitative)</w:t>
      </w:r>
    </w:p>
    <w:p>
      <w:pPr>
        <w:pStyle w:val="BodyText"/>
      </w:pPr>
      <w:r>
        <w:t xml:space="preserve">√</w:t>
      </w:r>
    </w:p>
    <w:p>
      <w:pPr>
        <w:pStyle w:val="BodyText"/>
      </w:pPr>
      <w:r>
        <w:t xml:space="preserve">Report Drafting &amp; Stakeholder Review</w:t>
      </w:r>
    </w:p>
    <w:p>
      <w:pPr>
        <w:pStyle w:val="BodyText"/>
      </w:pPr>
      <w:r>
        <w:t xml:space="preserve">√</w:t>
      </w:r>
    </w:p>
    <w:bookmarkEnd w:id="30"/>
    <w:bookmarkStart w:id="31" w:name="X53f78c23877ff564e93b14c20aaf16dd9d0e3ab"/>
    <w:p>
      <w:pPr>
        <w:pStyle w:val="Heading2"/>
      </w:pPr>
      <w:r>
        <w:t xml:space="preserve">9. Conclusion: The Imperative for Melbourne's Creative Future</w:t>
      </w:r>
    </w:p>
    <w:p>
      <w:pPr>
        <w:pStyle w:val="FirstParagraph"/>
      </w:pPr>
      <w:r>
        <w:t xml:space="preserve">In the heart of Australia Melbourne, where innovation thrives at the intersection of tradition and technology, this Research Proposal is not merely academic—it is an urgent professional necessity. As the demand for strategic visual storytelling intensifies across sectors from healthcare to sustainable fashion in Australia Melbourne, Graphic Designers stand as indispensable cultural translators. This study will illuminate a path forward: ensuring that every Graphic Designer operating within Australia Melbourne's creative corridors possesses the tools, competencies, and institutional support required to shape not only brand identities but the very narrative of Victoria's global creative influence. By grounding this research in Melbourne's unique context—from its laneway galleries to its burgeoning tech-creative clusters—we contribute to securing Australia's position as a leader in human-centered design innovation.</w:t>
      </w:r>
    </w:p>
    <w:bookmarkEnd w:id="31"/>
    <w:bookmarkStart w:id="32" w:name="references-selected"/>
    <w:p>
      <w:pPr>
        <w:pStyle w:val="Heading2"/>
      </w:pPr>
      <w:r>
        <w:t xml:space="preserve">References (Selected)</w:t>
      </w:r>
    </w:p>
    <w:p>
      <w:pPr>
        <w:numPr>
          <w:ilvl w:val="0"/>
          <w:numId w:val="1005"/>
        </w:numPr>
        <w:pStyle w:val="Compact"/>
      </w:pPr>
      <w:r>
        <w:t xml:space="preserve">Australian Graphic Design Association (AGDA). (2023). *Workforce Report: Melbourne Creative Industries*. Melbourne, VIC.</w:t>
      </w:r>
    </w:p>
    <w:p>
      <w:pPr>
        <w:numPr>
          <w:ilvl w:val="0"/>
          <w:numId w:val="1005"/>
        </w:numPr>
        <w:pStyle w:val="Compact"/>
      </w:pPr>
      <w:r>
        <w:t xml:space="preserve">Creative Victoria. (2023). *Economic Impact of Creative Industries in Victoria*. Government Publication.</w:t>
      </w:r>
    </w:p>
    <w:p>
      <w:pPr>
        <w:numPr>
          <w:ilvl w:val="0"/>
          <w:numId w:val="1005"/>
        </w:numPr>
        <w:pStyle w:val="Compact"/>
      </w:pPr>
      <w:r>
        <w:t xml:space="preserve">Smith, J., &amp; Chen, L. (2021). Digital Transformation in Australian Design Practice. *Journal of Visual Communication*, 45(3), 112-130.</w:t>
      </w:r>
    </w:p>
    <w:p>
      <w:pPr>
        <w:numPr>
          <w:ilvl w:val="0"/>
          <w:numId w:val="1005"/>
        </w:numPr>
        <w:pStyle w:val="Compact"/>
      </w:pPr>
      <w:r>
        <w:t xml:space="preserve">AIGA. (2023). *Global Design Rankings*. New York: American Institute of Graphic Arts.</w:t>
      </w:r>
    </w:p>
    <w:p>
      <w:pPr>
        <w:pStyle w:val="FirstParagraph"/>
      </w:pPr>
      <w:r>
        <w:rPr>
          <w:iCs/>
          <w:i/>
        </w:rPr>
        <w:t xml:space="preserve">This Research Proposal is submitted to the Melbourne University Creative Industries Research Committee for funding consideration, with a target implementation timeline of January 2025 - August 2025. All findings will be published under a Creative Commons Attribution-NonCommercial 4.0 International License.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Australia Melbourne's Creative Landscape</dc:title>
  <dc:creator/>
  <dc:language>en</dc:language>
  <cp:keywords/>
  <dcterms:created xsi:type="dcterms:W3CDTF">2026-07-21T02:41:03Z</dcterms:created>
  <dcterms:modified xsi:type="dcterms:W3CDTF">2026-07-21T02:41:03Z</dcterms:modified>
</cp:coreProperties>
</file>

<file path=docProps/custom.xml><?xml version="1.0" encoding="utf-8"?>
<Properties xmlns="http://schemas.openxmlformats.org/officeDocument/2006/custom-properties" xmlns:vt="http://schemas.openxmlformats.org/officeDocument/2006/docPropsVTypes"/>
</file>