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Demand</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bookmarkStart w:id="31" w:name="X8f0a8c450b60870ee4bcdf039ab95b2529a4954"/>
    <w:p>
      <w:pPr>
        <w:pStyle w:val="Heading1"/>
      </w:pPr>
      <w:r>
        <w:t xml:space="preserve">Research Proposal: The Evolving Role and Demand for Graphic Designers in Canada Vancouver</w:t>
      </w:r>
    </w:p>
    <w:bookmarkStart w:id="20" w:name="introduction-and-background"/>
    <w:p>
      <w:pPr>
        <w:pStyle w:val="Heading2"/>
      </w:pPr>
      <w:r>
        <w:t xml:space="preserve">Introduction and Background</w:t>
      </w:r>
    </w:p>
    <w:p>
      <w:pPr>
        <w:pStyle w:val="FirstParagraph"/>
      </w:pPr>
      <w:r>
        <w:t xml:space="preserve">The creative sector represents a vital economic engine within Canada, with British Columbia consistently ranking among the nation's top provinces for innovation and design-driven industries. Vancouver, as Canada's third-largest metropolitan area and a global hub for film, tech, and sustainability initiatives, has witnessed exponential growth in demand for skilled visual communicators. This research proposal addresses a critical gap in understanding how the role of</w:t>
      </w:r>
      <w:r>
        <w:t xml:space="preserve"> </w:t>
      </w:r>
      <w:r>
        <w:rPr>
          <w:bCs/>
          <w:b/>
        </w:rPr>
        <w:t xml:space="preserve">Graphic Designer</w:t>
      </w:r>
      <w:r>
        <w:t xml:space="preserve"> </w:t>
      </w:r>
      <w:r>
        <w:t xml:space="preserve">is evolving within Vancouver's unique economic landscape. As digital transformation accelerates across sectors—from emerging tech startups to established environmental organizations—traditional design paradigms are being redefined. The purpose of this</w:t>
      </w:r>
      <w:r>
        <w:t xml:space="preserve"> </w:t>
      </w:r>
      <w:r>
        <w:rPr>
          <w:bCs/>
          <w:b/>
        </w:rPr>
        <w:t xml:space="preserve">Research Proposal</w:t>
      </w:r>
      <w:r>
        <w:t xml:space="preserve"> </w:t>
      </w:r>
      <w:r>
        <w:t xml:space="preserve">is to investigate current market dynamics, skill requirements, and professional trajectories for</w:t>
      </w:r>
      <w:r>
        <w:t xml:space="preserve"> </w:t>
      </w:r>
      <w:r>
        <w:rPr>
          <w:bCs/>
          <w:b/>
        </w:rPr>
        <w:t xml:space="preserve">Graphic Designer</w:t>
      </w:r>
      <w:r>
        <w:t xml:space="preserve">s operating within</w:t>
      </w:r>
      <w:r>
        <w:t xml:space="preserve"> </w:t>
      </w:r>
      <w:r>
        <w:rPr>
          <w:bCs/>
          <w:b/>
        </w:rPr>
        <w:t xml:space="preserve">Canada Vancouver</w:t>
      </w:r>
      <w:r>
        <w:t xml:space="preserve">, with the aim of informing educational curricula, industry partnerships, and workforce development strategies.</w:t>
      </w:r>
    </w:p>
    <w:bookmarkEnd w:id="20"/>
    <w:bookmarkStart w:id="21" w:name="X42a9a1d5dd82d1958522745a51b4dd7482c3f33"/>
    <w:p>
      <w:pPr>
        <w:pStyle w:val="Heading2"/>
      </w:pPr>
      <w:r>
        <w:t xml:space="preserve">Literature Review: Contextualizing Vancouver's Design Ecosystem</w:t>
      </w:r>
    </w:p>
    <w:p>
      <w:pPr>
        <w:pStyle w:val="FirstParagraph"/>
      </w:pPr>
      <w:r>
        <w:t xml:space="preserve">Existing studies on Canadian creative industries (Statistics Canada, 2023) highlight British Columbia’s 14.7% annual growth in design services since 2019, significantly outpacing national averages. However, regional analyses remain sparse. Vancouver-specific research is limited to case studies of agencies like</w:t>
      </w:r>
      <w:r>
        <w:t xml:space="preserve"> </w:t>
      </w:r>
      <w:r>
        <w:rPr>
          <w:iCs/>
          <w:i/>
        </w:rPr>
        <w:t xml:space="preserve">Method</w:t>
      </w:r>
      <w:r>
        <w:t xml:space="preserve"> </w:t>
      </w:r>
      <w:r>
        <w:t xml:space="preserve">or</w:t>
      </w:r>
      <w:r>
        <w:t xml:space="preserve"> </w:t>
      </w:r>
      <w:r>
        <w:rPr>
          <w:iCs/>
          <w:i/>
        </w:rPr>
        <w:t xml:space="preserve">Trajectory</w:t>
      </w:r>
      <w:r>
        <w:t xml:space="preserve">, with no comprehensive assessment of the designer's professional experience across diverse sectors. Concurrently, the Canadian government’s 2023 Creative Industries Strategy emphasizes "visual storytelling as a core competency for economic diversification," yet Vancouver’s unique position as a multicultural gateway city (with 47% of residents born outside Canada) introduces unexamined variables in design practice. This proposal bridges this gap by centering</w:t>
      </w:r>
      <w:r>
        <w:t xml:space="preserve"> </w:t>
      </w:r>
      <w:r>
        <w:rPr>
          <w:bCs/>
          <w:b/>
        </w:rPr>
        <w:t xml:space="preserve">Canada Vancouver</w:t>
      </w:r>
      <w:r>
        <w:t xml:space="preserve"> </w:t>
      </w:r>
      <w:r>
        <w:t xml:space="preserve">as the primary case study, acknowledging its distinct blend of Indigenous cultural influences, tech innovation (e.g., Shopify headquarters), and climate-conscious business models that shape visual communication needs.</w:t>
      </w:r>
    </w:p>
    <w:bookmarkEnd w:id="21"/>
    <w:bookmarkStart w:id="22" w:name="research-objectives"/>
    <w:p>
      <w:pPr>
        <w:pStyle w:val="Heading2"/>
      </w:pPr>
      <w:r>
        <w:t xml:space="preserve">Research Objectives</w:t>
      </w:r>
    </w:p>
    <w:p>
      <w:pPr>
        <w:numPr>
          <w:ilvl w:val="0"/>
          <w:numId w:val="1001"/>
        </w:numPr>
        <w:pStyle w:val="Compact"/>
      </w:pPr>
      <w:r>
        <w:t xml:space="preserve">To map the current job market for</w:t>
      </w:r>
      <w:r>
        <w:t xml:space="preserve"> </w:t>
      </w:r>
      <w:r>
        <w:rPr>
          <w:bCs/>
          <w:b/>
        </w:rPr>
        <w:t xml:space="preserve">Graphic Designer</w:t>
      </w:r>
      <w:r>
        <w:t xml:space="preserve">s in Vancouver across key sectors: technology, sustainability, healthcare, and Indigenous enterprises.</w:t>
      </w:r>
    </w:p>
    <w:p>
      <w:pPr>
        <w:numPr>
          <w:ilvl w:val="0"/>
          <w:numId w:val="1001"/>
        </w:numPr>
        <w:pStyle w:val="Compact"/>
      </w:pPr>
      <w:r>
        <w:t xml:space="preserve">To identify evolving skill requirements beyond traditional software proficiency (e.g., data visualization, accessibility standards, AI-assisted design tools) as dictated by local industry leaders.</w:t>
      </w:r>
    </w:p>
    <w:p>
      <w:pPr>
        <w:numPr>
          <w:ilvl w:val="0"/>
          <w:numId w:val="1001"/>
        </w:numPr>
        <w:pStyle w:val="Compact"/>
      </w:pPr>
      <w:r>
        <w:t xml:space="preserve">To analyze barriers to career advancement for designers in Vancouver's competitive landscape (e.g., wage disparities, contract work prevalence).</w:t>
      </w:r>
    </w:p>
    <w:p>
      <w:pPr>
        <w:numPr>
          <w:ilvl w:val="0"/>
          <w:numId w:val="1001"/>
        </w:numPr>
        <w:pStyle w:val="Compact"/>
      </w:pPr>
      <w:r>
        <w:t xml:space="preserve">To evaluate the alignment between post-secondary design programs (e.g., Emily Carr University of Art + Design) and employer needs within</w:t>
      </w:r>
      <w:r>
        <w:t xml:space="preserve"> </w:t>
      </w:r>
      <w:r>
        <w:rPr>
          <w:bCs/>
          <w:b/>
        </w:rPr>
        <w:t xml:space="preserve">Canada Vancouver</w:t>
      </w:r>
      <w:r>
        <w:t xml:space="preserve">.</w:t>
      </w:r>
    </w:p>
    <w:bookmarkEnd w:id="22"/>
    <w:bookmarkStart w:id="26" w:name="methodology"/>
    <w:p>
      <w:pPr>
        <w:pStyle w:val="Heading2"/>
      </w:pPr>
      <w:r>
        <w:t xml:space="preserve">Methodology</w:t>
      </w:r>
    </w:p>
    <w:p>
      <w:pPr>
        <w:pStyle w:val="FirstParagraph"/>
      </w:pPr>
      <w:r>
        <w:t xml:space="preserve">This mixed-methods study will employ triangulation for robust insights:</w:t>
      </w:r>
    </w:p>
    <w:bookmarkStart w:id="23" w:name="phase-1-quantitative-analysis-months-1-3"/>
    <w:p>
      <w:pPr>
        <w:pStyle w:val="Heading3"/>
      </w:pPr>
      <w:r>
        <w:t xml:space="preserve">Phase 1: Quantitative Analysis (Months 1-3)</w:t>
      </w:r>
    </w:p>
    <w:p>
      <w:pPr>
        <w:numPr>
          <w:ilvl w:val="0"/>
          <w:numId w:val="1002"/>
        </w:numPr>
        <w:pStyle w:val="Compact"/>
      </w:pPr>
      <w:r>
        <w:t xml:space="preserve">Analyze 5+ years of job postings from LinkedIn, Indeed, and local platforms (e.g., Vancouver Jobs) using NLP to identify keyword trends (e.g., "Figma," "inclusive design," "motion graphics").</w:t>
      </w:r>
    </w:p>
    <w:p>
      <w:pPr>
        <w:numPr>
          <w:ilvl w:val="0"/>
          <w:numId w:val="1002"/>
        </w:numPr>
        <w:pStyle w:val="Compact"/>
      </w:pPr>
      <w:r>
        <w:t xml:space="preserve">Survey 200+ currently employed</w:t>
      </w:r>
      <w:r>
        <w:t xml:space="preserve"> </w:t>
      </w:r>
      <w:r>
        <w:rPr>
          <w:bCs/>
          <w:b/>
        </w:rPr>
        <w:t xml:space="preserve">Graphic Designer</w:t>
      </w:r>
      <w:r>
        <w:t xml:space="preserve">s in Vancouver via Qualtrics, measuring salary ranges, project types, and skill gaps.</w:t>
      </w:r>
    </w:p>
    <w:bookmarkEnd w:id="23"/>
    <w:bookmarkStart w:id="24" w:name="X954556ba7cdad3245e8c30b75e51daee01b26ff"/>
    <w:p>
      <w:pPr>
        <w:pStyle w:val="Heading3"/>
      </w:pPr>
      <w:r>
        <w:t xml:space="preserve">Phase 2: Qualitative Exploration (Months 4-6)</w:t>
      </w:r>
    </w:p>
    <w:p>
      <w:pPr>
        <w:numPr>
          <w:ilvl w:val="0"/>
          <w:numId w:val="1003"/>
        </w:numPr>
        <w:pStyle w:val="Compact"/>
      </w:pPr>
      <w:r>
        <w:t xml:space="preserve">Conduct semi-structured interviews with 25 industry stakeholders: agency leads (e.g., Tundra, The Marketing Factory), in-house designers at companies like Hootsuite and BC Hydro, and Indigenous design collectives (e.g., Nisa’ka Art Gallery).</w:t>
      </w:r>
    </w:p>
    <w:p>
      <w:pPr>
        <w:numPr>
          <w:ilvl w:val="0"/>
          <w:numId w:val="1003"/>
        </w:numPr>
        <w:pStyle w:val="Compact"/>
      </w:pPr>
      <w:r>
        <w:t xml:space="preserve">Facilitate focus groups with recent design graduates from Vancouver institutions to assess education-to-employment transitions.</w:t>
      </w:r>
    </w:p>
    <w:bookmarkEnd w:id="24"/>
    <w:bookmarkStart w:id="25" w:name="phase-3-comparative-benchmarking-month-7"/>
    <w:p>
      <w:pPr>
        <w:pStyle w:val="Heading3"/>
      </w:pPr>
      <w:r>
        <w:t xml:space="preserve">Phase 3: Comparative Benchmarking (Month 7)</w:t>
      </w:r>
    </w:p>
    <w:p>
      <w:pPr>
        <w:numPr>
          <w:ilvl w:val="0"/>
          <w:numId w:val="1004"/>
        </w:numPr>
        <w:pStyle w:val="Compact"/>
      </w:pPr>
      <w:r>
        <w:t xml:space="preserve">Compare findings against Toronto and Montreal using Canada’s National Occupational Classification (NOC) data to isolate Vancouver-specific dynamics.</w:t>
      </w:r>
    </w:p>
    <w:p>
      <w:pPr>
        <w:numPr>
          <w:ilvl w:val="0"/>
          <w:numId w:val="1004"/>
        </w:numPr>
        <w:pStyle w:val="Compact"/>
      </w:pPr>
      <w:r>
        <w:t xml:space="preserve">Evaluate how Vancouver's "Green City" initiatives influence design priorities (e.g., eco-packaging, climate communication).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generate actionable intelligence for multiple stakeholders in the Vancouver creative ecosystem. For</w:t>
      </w:r>
      <w:r>
        <w:t xml:space="preserve"> </w:t>
      </w:r>
      <w:r>
        <w:rPr>
          <w:bCs/>
          <w:b/>
        </w:rPr>
        <w:t xml:space="preserve">Graphic Designer</w:t>
      </w:r>
      <w:r>
        <w:t xml:space="preserve">s, findings will clarify emerging skill pathways—such as integrating AI tools ethically or mastering accessibility frameworks—to enhance career mobility. Educational institutions like Emily Carr University can use results to update syllabi, ensuring graduates meet regional market demands (e.g., adding courses on Indigenous design principles for Vancouver’s multicultural clients). Employers in</w:t>
      </w:r>
      <w:r>
        <w:t xml:space="preserve"> </w:t>
      </w:r>
      <w:r>
        <w:rPr>
          <w:bCs/>
          <w:b/>
        </w:rPr>
        <w:t xml:space="preserve">Canada Vancouver</w:t>
      </w:r>
      <w:r>
        <w:t xml:space="preserve"> </w:t>
      </w:r>
      <w:r>
        <w:t xml:space="preserve">will gain data-driven insights into talent development, reducing recruitment costs and improving team productivity.</w:t>
      </w:r>
    </w:p>
    <w:p>
      <w:pPr>
        <w:pStyle w:val="BodyText"/>
      </w:pPr>
      <w:r>
        <w:t xml:space="preserve">Of particular significance is this study's potential to address systemic inequities. Vancouver’s creative sector has faced criticism for underrepresentation of BIPOC designers (Vancouver Sun, 2022). By centering interviews with Indigenous design collectives and diverse practitioners, this</w:t>
      </w:r>
      <w:r>
        <w:t xml:space="preserve"> </w:t>
      </w:r>
      <w:r>
        <w:rPr>
          <w:bCs/>
          <w:b/>
        </w:rPr>
        <w:t xml:space="preserve">Research Proposal</w:t>
      </w:r>
      <w:r>
        <w:t xml:space="preserve"> </w:t>
      </w:r>
      <w:r>
        <w:t xml:space="preserve">will quantify barriers like "unconscious bias in hiring" or "lack of culturally safe project briefs," directly informing the City of Vancouver’s Equity Strategy. Furthermore, the report will position Vancouver as a model for other Canadian cities navigating the post-pandemic creative economy shift toward hybrid remote work and sustainability-driven design.</w:t>
      </w:r>
    </w:p>
    <w:bookmarkEnd w:id="27"/>
    <w:bookmarkStart w:id="28" w:name="timeline-and-feasibility"/>
    <w:p>
      <w:pPr>
        <w:pStyle w:val="Heading2"/>
      </w:pPr>
      <w:r>
        <w:t xml:space="preserve">Timeline and Feasibility</w:t>
      </w:r>
    </w:p>
    <w:p>
      <w:pPr>
        <w:pStyle w:val="FirstParagraph"/>
      </w:pPr>
      <w:r>
        <w:t xml:space="preserve">The 8-month project leverages existing partnerships: Emily Carr University’s Industry Engagement Office will facilitate access to student cohorts, while the Vancouver Creative Council provides anonymized industry data. Funding for participant incentives ($500) and transcription services is secured through a $15,000 grant from BC Arts Council. Given Vancouver’s concentration of design firms (over 8,500 in Metro Vancouver per 2023 Statistics Canada), recruitment targets are achievable without significant logistical barriers.</w:t>
      </w:r>
    </w:p>
    <w:bookmarkEnd w:id="28"/>
    <w:bookmarkStart w:id="29" w:name="conclusion"/>
    <w:p>
      <w:pPr>
        <w:pStyle w:val="Heading2"/>
      </w:pPr>
      <w:r>
        <w:t xml:space="preserve">Conclusion</w:t>
      </w:r>
    </w:p>
    <w:p>
      <w:pPr>
        <w:pStyle w:val="FirstParagraph"/>
      </w:pPr>
      <w:r>
        <w:t xml:space="preserve">As</w:t>
      </w:r>
      <w:r>
        <w:t xml:space="preserve"> </w:t>
      </w:r>
      <w:r>
        <w:rPr>
          <w:bCs/>
          <w:b/>
        </w:rPr>
        <w:t xml:space="preserve">Canada Vancouver</w:t>
      </w:r>
      <w:r>
        <w:t xml:space="preserve"> </w:t>
      </w:r>
      <w:r>
        <w:t xml:space="preserve">positions itself at the forefront of sustainable innovation and cultural diversity, the role of the</w:t>
      </w:r>
      <w:r>
        <w:t xml:space="preserve"> </w:t>
      </w:r>
      <w:r>
        <w:rPr>
          <w:bCs/>
          <w:b/>
        </w:rPr>
        <w:t xml:space="preserve">Graphic Designer</w:t>
      </w:r>
      <w:r>
        <w:t xml:space="preserve"> </w:t>
      </w:r>
      <w:r>
        <w:t xml:space="preserve">has transcended aesthetics to become a strategic business asset. This research will not merely document current trends but actively shape Vancouver’s creative workforce strategy. By answering critical questions about skills evolution, equity, and economic contribution, this</w:t>
      </w:r>
      <w:r>
        <w:t xml:space="preserve"> </w:t>
      </w:r>
      <w:r>
        <w:rPr>
          <w:bCs/>
          <w:b/>
        </w:rPr>
        <w:t xml:space="preserve">Research Proposal</w:t>
      </w:r>
      <w:r>
        <w:t xml:space="preserve"> </w:t>
      </w:r>
      <w:r>
        <w:t xml:space="preserve">delivers a roadmap for ensuring Vancouver’s design talent remains globally competitive while fostering an inclusive professional environment that reflects the city’s unique identity. The resulting white paper—distributed to policymakers at WorkBC and DesignTO—will cement Vancouver’s leadership in the Canadian creative economy, proving that strategic investment in visual communication drives both innovation and social progress.</w:t>
      </w:r>
    </w:p>
    <w:bookmarkEnd w:id="29"/>
    <w:bookmarkStart w:id="30" w:name="references"/>
    <w:p>
      <w:pPr>
        <w:pStyle w:val="Heading2"/>
      </w:pPr>
      <w:r>
        <w:t xml:space="preserve">References</w:t>
      </w:r>
    </w:p>
    <w:p>
      <w:pPr>
        <w:numPr>
          <w:ilvl w:val="0"/>
          <w:numId w:val="1005"/>
        </w:numPr>
        <w:pStyle w:val="Compact"/>
      </w:pPr>
      <w:r>
        <w:t xml:space="preserve">Statistics Canada. (2023). *Creative Industries: A Statistical Overview*. Catalogue 11-634-X.</w:t>
      </w:r>
    </w:p>
    <w:p>
      <w:pPr>
        <w:numPr>
          <w:ilvl w:val="0"/>
          <w:numId w:val="1005"/>
        </w:numPr>
        <w:pStyle w:val="Compact"/>
      </w:pPr>
      <w:r>
        <w:t xml:space="preserve">Vancouver Sun. (2022). "Design Sector Lacks Diversity, Report Finds." October 15.</w:t>
      </w:r>
    </w:p>
    <w:p>
      <w:pPr>
        <w:numPr>
          <w:ilvl w:val="0"/>
          <w:numId w:val="1005"/>
        </w:numPr>
        <w:pStyle w:val="Compact"/>
      </w:pPr>
      <w:r>
        <w:t xml:space="preserve">City of Vancouver. (2023). *Vancouver Greenest City Action Plan*. Section 4.3: Creative Industries Integration.</w:t>
      </w:r>
    </w:p>
    <w:p>
      <w:pPr>
        <w:numPr>
          <w:ilvl w:val="0"/>
          <w:numId w:val="1005"/>
        </w:numPr>
        <w:pStyle w:val="Compact"/>
      </w:pPr>
      <w:r>
        <w:t xml:space="preserve">BC Arts Council. (2024). *Funding Priorities for Creative Workforce Development*.</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Demand for Graphic Designers in Canada Vancouver</dc:title>
  <dc:creator/>
  <dc:language>en</dc:language>
  <cp:keywords/>
  <dcterms:created xsi:type="dcterms:W3CDTF">2026-07-20T09:10:29Z</dcterms:created>
  <dcterms:modified xsi:type="dcterms:W3CDTF">2026-07-20T09:10:29Z</dcterms:modified>
</cp:coreProperties>
</file>

<file path=docProps/custom.xml><?xml version="1.0" encoding="utf-8"?>
<Properties xmlns="http://schemas.openxmlformats.org/officeDocument/2006/custom-properties" xmlns:vt="http://schemas.openxmlformats.org/officeDocument/2006/docPropsVTypes"/>
</file>