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Mumbai's</w:t>
      </w:r>
      <w:r>
        <w:t xml:space="preserve"> </w:t>
      </w:r>
      <w:r>
        <w:t xml:space="preserve">Creative</w:t>
      </w:r>
      <w:r>
        <w:t xml:space="preserve"> </w:t>
      </w:r>
      <w:r>
        <w:t xml:space="preserve">Ecosystem</w:t>
      </w:r>
    </w:p>
    <w:bookmarkStart w:id="30" w:name="X4d697d6109cf91237470c03abffecd437307c68"/>
    <w:p>
      <w:pPr>
        <w:pStyle w:val="Heading1"/>
      </w:pPr>
      <w:r>
        <w:t xml:space="preserve">Research Proposal: The Evolving Role of Graphic Designer in India Mumbai's Creative Ecosystem</w:t>
      </w:r>
    </w:p>
    <w:bookmarkStart w:id="20" w:name="introduction"/>
    <w:p>
      <w:pPr>
        <w:pStyle w:val="Heading2"/>
      </w:pPr>
      <w:r>
        <w:t xml:space="preserve">Introduction</w:t>
      </w:r>
    </w:p>
    <w:p>
      <w:pPr>
        <w:pStyle w:val="FirstParagraph"/>
      </w:pPr>
      <w:r>
        <w:t xml:space="preserve">The creative industry in India is experiencing unprecedented growth, with Mumbai serving as the nation's undisputed hub for design innovation. As a metropolis where traditional art forms merge with digital disruption, Mumbai presents a unique laboratory for studying the contemporary Graphic Designer. This Research Proposal examines the professional landscape of Graphic Designers within India Mumbai, exploring how cultural identity, technological advancement, and market demands shape their evolving role in one of Asia's most dynamic urban centers. With India's creative economy projected to reach $123 billion by 2025 (NASSCOM), understanding Mumbai's designer ecosystem is critical for education frameworks, industry standards, and economic development strategies.</w:t>
      </w:r>
    </w:p>
    <w:bookmarkEnd w:id="20"/>
    <w:bookmarkStart w:id="21" w:name="problem-statement"/>
    <w:p>
      <w:pPr>
        <w:pStyle w:val="Heading2"/>
      </w:pPr>
      <w:r>
        <w:t xml:space="preserve">Problem Statement</w:t>
      </w:r>
    </w:p>
    <w:p>
      <w:pPr>
        <w:pStyle w:val="FirstParagraph"/>
      </w:pPr>
      <w:r>
        <w:t xml:space="preserve">Mumbai's Graphic Designers operate in a paradoxical environment: while the city generates over 40% of India's creative output (FICCI-KPMG Report 2023), designers face systemic challenges including inconsistent industry standards, underpayment (65% earn below ₹15,000/month for junior roles), and cultural disconnects between global design trends and local narratives. Simultaneously, Mumbai's rapid urbanization creates urgent design needs in public infrastructure, social enterprises, and heritage preservation that existing designer training fails to address. This research addresses the critical gap in understanding how Graphic Designers can strategically contribute to Mumbai's socio-economic fabric while navigating professional precarity.</w:t>
      </w:r>
    </w:p>
    <w:bookmarkEnd w:id="21"/>
    <w:bookmarkStart w:id="22" w:name="literature-review"/>
    <w:p>
      <w:pPr>
        <w:pStyle w:val="Heading2"/>
      </w:pPr>
      <w:r>
        <w:t xml:space="preserve">Literature Review</w:t>
      </w:r>
    </w:p>
    <w:p>
      <w:pPr>
        <w:pStyle w:val="FirstParagraph"/>
      </w:pPr>
      <w:r>
        <w:t xml:space="preserve">Existing studies on Indian design (e.g., Mehta, 2021) focus on corporate branding but neglect Mumbai's grassroots creativity. International frameworks like the AIGA Design Economy Index lack India-specific metrics. Recent works by Deshpande (2023) analyze Mumbai's street art scene but ignore professional design practices. Crucially, no research examines how India Mumbai's unique confluence of Bollywood aesthetics, textile heritage (e.g., Bandhani prints), and startup culture reshapes the Graphic Designer's toolkit beyond digital software proficiency. This proposal bridges this gap by centering the Mumbai context as both subject and catalyst for innovation.</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Graphic Designers across Mumbai's creative sectors (advertising, publishing, social enterprises, heritage conservation).</w:t>
      </w:r>
    </w:p>
    <w:p>
      <w:pPr>
        <w:numPr>
          <w:ilvl w:val="0"/>
          <w:numId w:val="1001"/>
        </w:numPr>
        <w:pStyle w:val="Compact"/>
      </w:pPr>
      <w:r>
        <w:t xml:space="preserve">To analyze how cultural identity manifests in design outputs through case studies of Mumbai-based studios (e.g., The Branding Company, D&amp;V Communications).</w:t>
      </w:r>
    </w:p>
    <w:p>
      <w:pPr>
        <w:numPr>
          <w:ilvl w:val="0"/>
          <w:numId w:val="1001"/>
        </w:numPr>
        <w:pStyle w:val="Compact"/>
      </w:pPr>
      <w:r>
        <w:t xml:space="preserve">To assess the impact of emerging technologies (AR/VR, AI tools) on traditional design workflows within India Mumbai's context.</w:t>
      </w:r>
    </w:p>
    <w:p>
      <w:pPr>
        <w:numPr>
          <w:ilvl w:val="0"/>
          <w:numId w:val="1001"/>
        </w:numPr>
        <w:pStyle w:val="Compact"/>
      </w:pPr>
      <w:r>
        <w:t xml:space="preserve">To propose a culturally responsive curriculum framework for Graphic Design education aligned with Mumbai's economic needs.</w:t>
      </w:r>
    </w:p>
    <w:bookmarkEnd w:id="23"/>
    <w:bookmarkStart w:id="24" w:name="methodology"/>
    <w:p>
      <w:pPr>
        <w:pStyle w:val="Heading2"/>
      </w:pPr>
      <w:r>
        <w:t xml:space="preserve">Methodology</w:t>
      </w:r>
    </w:p>
    <w:p>
      <w:pPr>
        <w:pStyle w:val="FirstParagraph"/>
      </w:pPr>
      <w:r>
        <w:t xml:space="preserve">This mixed-methods study employs three interconnected approaches over 18 months:</w:t>
      </w:r>
    </w:p>
    <w:p>
      <w:pPr>
        <w:numPr>
          <w:ilvl w:val="0"/>
          <w:numId w:val="1002"/>
        </w:numPr>
        <w:pStyle w:val="Compact"/>
      </w:pPr>
      <w:r>
        <w:rPr>
          <w:bCs/>
          <w:b/>
        </w:rPr>
        <w:t xml:space="preserve">Quantitative Survey:</w:t>
      </w:r>
      <w:r>
        <w:t xml:space="preserve"> </w:t>
      </w:r>
      <w:r>
        <w:t xml:space="preserve">Stratified sampling of 300 Graphic Designers across Mumbai's neighborhoods (Bandra, Andheri, Dharavi) using Google Forms and in-person interviews at design hubs like NID Mumbai and MICA.</w:t>
      </w:r>
    </w:p>
    <w:p>
      <w:pPr>
        <w:numPr>
          <w:ilvl w:val="0"/>
          <w:numId w:val="1002"/>
        </w:numPr>
        <w:pStyle w:val="Compact"/>
      </w:pPr>
      <w:r>
        <w:rPr>
          <w:bCs/>
          <w:b/>
        </w:rPr>
        <w:t xml:space="preserve">Qualitative Case Studies:</w:t>
      </w:r>
      <w:r>
        <w:t xml:space="preserve"> </w:t>
      </w:r>
      <w:r>
        <w:t xml:space="preserve">Deep dives into 5 Mumbai-based studios through 6-month fieldwork, documenting how they navigate client demands for "Indian" aesthetics versus global standards (e.g., designing packaging for Tata Tea's regional variants).</w:t>
      </w:r>
    </w:p>
    <w:p>
      <w:pPr>
        <w:numPr>
          <w:ilvl w:val="0"/>
          <w:numId w:val="1002"/>
        </w:numPr>
        <w:pStyle w:val="Compact"/>
      </w:pPr>
      <w:r>
        <w:rPr>
          <w:bCs/>
          <w:b/>
        </w:rPr>
        <w:t xml:space="preserve">Participatory Workshops:</w:t>
      </w:r>
      <w:r>
        <w:t xml:space="preserve"> </w:t>
      </w:r>
      <w:r>
        <w:t xml:space="preserve">Co-creation sessions with designers, art directors at L'Oréal India Mumbai office, and cultural institutions like Chhatrapati Shivaji Maharaj Vastu Sangrahalaya to prototype solutions for Mumbai-specific challenges (e.g., multilingual public signage).</w:t>
      </w:r>
    </w:p>
    <w:p>
      <w:pPr>
        <w:pStyle w:val="FirstParagraph"/>
      </w:pPr>
      <w:r>
        <w:t xml:space="preserve">Data analysis will employ NVivo for thematic coding of interview transcripts and SPSS for survey statistics, with all research aligned to Mumbai's Urban Design Policy Framework 2030.</w:t>
      </w:r>
    </w:p>
    <w:bookmarkEnd w:id="24"/>
    <w:bookmarkStart w:id="25" w:name="expected-outcomes"/>
    <w:p>
      <w:pPr>
        <w:pStyle w:val="Heading2"/>
      </w:pPr>
      <w:r>
        <w:t xml:space="preserve">Expected Outcomes</w:t>
      </w:r>
    </w:p>
    <w:p>
      <w:pPr>
        <w:pStyle w:val="FirstParagraph"/>
      </w:pPr>
      <w:r>
        <w:t xml:space="preserve">This research will deliver four key outputs:</w:t>
      </w:r>
    </w:p>
    <w:p>
      <w:pPr>
        <w:numPr>
          <w:ilvl w:val="0"/>
          <w:numId w:val="1003"/>
        </w:numPr>
        <w:pStyle w:val="Compact"/>
      </w:pPr>
      <w:r>
        <w:t xml:space="preserve">A comprehensive Digital Map of Mumbai's Design Ecosystem: An interactive GIS platform showing designer density, sector distribution, and cultural hotspots (e.g., Dharavi's artisan cooperatives needing design partnerships).</w:t>
      </w:r>
    </w:p>
    <w:p>
      <w:pPr>
        <w:numPr>
          <w:ilvl w:val="0"/>
          <w:numId w:val="1003"/>
        </w:numPr>
        <w:pStyle w:val="Compact"/>
      </w:pPr>
      <w:r>
        <w:t xml:space="preserve">Cultural Identity Design Toolkit: Framework for integrating Mumbai-specific elements (Marathi typography, Chawri Bazaar aesthetics) into client projects without stereotyping.</w:t>
      </w:r>
    </w:p>
    <w:p>
      <w:pPr>
        <w:numPr>
          <w:ilvl w:val="0"/>
          <w:numId w:val="1003"/>
        </w:numPr>
        <w:pStyle w:val="Compact"/>
      </w:pPr>
      <w:r>
        <w:t xml:space="preserve">Policy Brief for Maharashtra State Creative Industries Department: Recommendations on formalizing Graphic Designer accreditation standards and combating exploitative payment structures.</w:t>
      </w:r>
    </w:p>
    <w:p>
      <w:pPr>
        <w:numPr>
          <w:ilvl w:val="0"/>
          <w:numId w:val="1003"/>
        </w:numPr>
        <w:pStyle w:val="Compact"/>
      </w:pPr>
      <w:r>
        <w:t xml:space="preserve">Curriculum Blueprint: A 2-year pilot module for Symbiosis School of Design, Mumbai, emphasizing hyperlocal problem-solving (e.g., designing vaccination campaigns for slum communities using vernacular visuals).</w:t>
      </w:r>
    </w:p>
    <w:bookmarkEnd w:id="25"/>
    <w:bookmarkStart w:id="26" w:name="significance-to-india-mumbai-context"/>
    <w:p>
      <w:pPr>
        <w:pStyle w:val="Heading2"/>
      </w:pPr>
      <w:r>
        <w:t xml:space="preserve">Significance to India Mumbai Context</w:t>
      </w:r>
    </w:p>
    <w:p>
      <w:pPr>
        <w:pStyle w:val="FirstParagraph"/>
      </w:pPr>
      <w:r>
        <w:t xml:space="preserve">This Research Proposal directly addresses Mumbai's developmental priorities. As the city aims to become a "Creative Capital" under its 2040 Vision, understanding the Graphic Designer's role is essential for:</w:t>
      </w:r>
    </w:p>
    <w:p>
      <w:pPr>
        <w:numPr>
          <w:ilvl w:val="0"/>
          <w:numId w:val="1004"/>
        </w:numPr>
        <w:pStyle w:val="Compact"/>
      </w:pPr>
      <w:r>
        <w:rPr>
          <w:bCs/>
          <w:b/>
        </w:rPr>
        <w:t xml:space="preserve">Urban Transformation:</w:t>
      </w:r>
      <w:r>
        <w:t xml:space="preserve"> </w:t>
      </w:r>
      <w:r>
        <w:t xml:space="preserve">Designers are key to Mumbai's Smart City initiatives (e.g., visual wayfinding systems for suburban railways).</w:t>
      </w:r>
    </w:p>
    <w:p>
      <w:pPr>
        <w:numPr>
          <w:ilvl w:val="0"/>
          <w:numId w:val="1004"/>
        </w:numPr>
        <w:pStyle w:val="Compact"/>
      </w:pPr>
      <w:r>
        <w:rPr>
          <w:bCs/>
          <w:b/>
        </w:rPr>
        <w:t xml:space="preserve">Cultural Preservation:</w:t>
      </w:r>
      <w:r>
        <w:t xml:space="preserve"> </w:t>
      </w:r>
      <w:r>
        <w:t xml:space="preserve">Documenting how designers revive dying crafts like Kalamkari and Madhubani art for contemporary audiences.</w:t>
      </w:r>
    </w:p>
    <w:p>
      <w:pPr>
        <w:numPr>
          <w:ilvl w:val="0"/>
          <w:numId w:val="1004"/>
        </w:numPr>
        <w:pStyle w:val="Compact"/>
      </w:pPr>
      <w:r>
        <w:rPr>
          <w:bCs/>
          <w:b/>
        </w:rPr>
        <w:t xml:space="preserve">Economic Inclusion:</w:t>
      </w:r>
      <w:r>
        <w:t xml:space="preserve"> </w:t>
      </w:r>
      <w:r>
        <w:t xml:space="preserve">Creating pathways for women and minority artists from Mumbai's suburbs (e.g., Thane, Navi Mumbai) to enter the design profession.</w:t>
      </w:r>
    </w:p>
    <w:p>
      <w:pPr>
        <w:numPr>
          <w:ilvl w:val="0"/>
          <w:numId w:val="1004"/>
        </w:numPr>
        <w:pStyle w:val="Compact"/>
      </w:pPr>
      <w:r>
        <w:rPr>
          <w:bCs/>
          <w:b/>
        </w:rPr>
        <w:t xml:space="preserve">Global Competitiveness:</w:t>
      </w:r>
      <w:r>
        <w:t xml:space="preserve"> </w:t>
      </w:r>
      <w:r>
        <w:t xml:space="preserve">Positioning India Mumbai as a counterpoint to Silicon Valley in "human-centered design" that respects local context.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Preparation &amp; Survey Design</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Data Collection (Fieldwork)</w:t>
            </w:r>
          </w:p>
        </w:tc>
        <w:tc>
          <w:tcPr/>
          <w:p>
            <w:pPr>
              <w:pStyle w:val="Compact"/>
            </w:pPr>
          </w:p>
        </w:tc>
        <w:tc>
          <w:tcPr>
            <w:gridSpan w:val="2"/>
          </w:tcPr>
          <w:p>
            <w:pPr>
              <w:pStyle w:val="Compact"/>
              <w:jc w:val="left"/>
            </w:pPr>
            <w:r>
              <w:t xml:space="preserve">✓</w:t>
            </w:r>
          </w:p>
        </w:tc>
      </w:tr>
      <w:tr>
        <w:tc>
          <w:tcPr/>
          <w:p>
            <w:pPr>
              <w:pStyle w:val="Compact"/>
              <w:jc w:val="left"/>
            </w:pPr>
            <w:r>
              <w:t xml:space="preserve">Analysis &amp; Toolkit Development</w:t>
            </w:r>
          </w:p>
        </w:tc>
        <w:tc>
          <w:tcPr/>
          <w:p>
            <w:pPr>
              <w:pStyle w:val="Compact"/>
            </w:pPr>
          </w:p>
        </w:tc>
        <w:tc>
          <w:tcPr>
            <w:gridSpan w:val="2"/>
          </w:tcPr>
          <w:p>
            <w:pPr>
              <w:pStyle w:val="Compact"/>
              <w:jc w:val="left"/>
            </w:pPr>
            <w:r>
              <w:t xml:space="preserve">✓</w:t>
            </w:r>
          </w:p>
        </w:tc>
      </w:tr>
      <w:tr>
        <w:tc>
          <w:tcPr/>
          <w:p>
            <w:pPr>
              <w:pStyle w:val="Compact"/>
              <w:jc w:val="left"/>
            </w:pPr>
            <w:r>
              <w:t xml:space="preserve">Total Duration:</w:t>
            </w:r>
          </w:p>
        </w:tc>
        <w:tc>
          <w:tcPr/>
          <w:p>
            <w:pPr>
              <w:pStyle w:val="Compact"/>
              <w:jc w:val="left"/>
            </w:pPr>
            <w:r>
              <w:t xml:space="preserve">18 Months (Jan 2025 - Jun 2026)</w:t>
            </w:r>
          </w:p>
        </w:tc>
        <w:tc>
          <w:tcPr/>
          <w:p>
            <w:pPr>
              <w:pStyle w:val="Compact"/>
            </w:pPr>
          </w:p>
        </w:tc>
        <w:tc>
          <w:tcPr/>
          <w:p>
            <w:pPr>
              <w:pStyle w:val="Compact"/>
            </w:pPr>
          </w:p>
        </w:tc>
      </w:tr>
    </w:tbl>
    <w:bookmarkEnd w:id="27"/>
    <w:bookmarkStart w:id="28" w:name="conclusion"/>
    <w:p>
      <w:pPr>
        <w:pStyle w:val="Heading2"/>
      </w:pPr>
      <w:r>
        <w:t xml:space="preserve">Conclusion</w:t>
      </w:r>
    </w:p>
    <w:p>
      <w:pPr>
        <w:pStyle w:val="FirstParagraph"/>
      </w:pPr>
      <w:r>
        <w:t xml:space="preserve">In India Mumbai, the Graphic Designer is no longer merely a visual communicator but a cultural translator and urban problem-solver. This Research Proposal establishes that meaningful design practice in Mumbai requires moving beyond Western-centric models to embrace the city's layered identity—where Bollywood glamour meets street art vitality and digital innovation coexists with handloom traditions. By centering Mumbai's unique socio-cultural dynamics, this study will empower Graphic Designers to become agents of inclusive growth rather than passive participants in a globalized creative market. The outcomes will directly inform Maharashtra's Creative Economy Policy, university curricula across India, and the professional trajectory of thousands of designers navigating Mumbai's vibrant yet challenging landscape. Ultimately, this research asserts that Mumbai's future design excellence depends on understanding the designer as an integral part of the city's soul.</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India Mumbai's Creative Ecosystem</dc:title>
  <dc:creator/>
  <dc:language>en</dc:language>
  <cp:keywords/>
  <dcterms:created xsi:type="dcterms:W3CDTF">2025-12-11T16:32:29Z</dcterms:created>
  <dcterms:modified xsi:type="dcterms:W3CDTF">2025-12-11T16:32:29Z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