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Evolution</w:t>
      </w:r>
      <w:r>
        <w:t xml:space="preserve"> </w:t>
      </w:r>
      <w:r>
        <w:t xml:space="preserve">of</w:t>
      </w:r>
      <w:r>
        <w:t xml:space="preserve"> </w:t>
      </w:r>
      <w:r>
        <w:t xml:space="preserve">Graphic</w:t>
      </w:r>
      <w:r>
        <w:t xml:space="preserve"> </w:t>
      </w:r>
      <w:r>
        <w:t xml:space="preserve">Design</w:t>
      </w:r>
      <w:r>
        <w:t xml:space="preserve"> </w:t>
      </w:r>
      <w:r>
        <w:t xml:space="preserve">in</w:t>
      </w:r>
      <w:r>
        <w:t xml:space="preserve"> </w:t>
      </w:r>
      <w:r>
        <w:t xml:space="preserve">Rome,</w:t>
      </w:r>
      <w:r>
        <w:t xml:space="preserve"> </w:t>
      </w:r>
      <w:r>
        <w:t xml:space="preserve">Italy</w:t>
      </w:r>
    </w:p>
    <w:bookmarkStart w:id="27" w:name="Xf1c471db4f7c85af60a1a5c3e4aadf54da5c769"/>
    <w:p>
      <w:pPr>
        <w:pStyle w:val="Heading1"/>
      </w:pPr>
      <w:r>
        <w:t xml:space="preserve">Research Proposal: The Evolving Role of the Graphic Designer in Contemporary Creative Industries – A Case Study of Rome, Italy</w:t>
      </w:r>
    </w:p>
    <w:bookmarkStart w:id="20" w:name="introduction-and-contextual-background"/>
    <w:p>
      <w:pPr>
        <w:pStyle w:val="Heading2"/>
      </w:pPr>
      <w:r>
        <w:t xml:space="preserve">Introduction and Contextual Background</w:t>
      </w:r>
    </w:p>
    <w:p>
      <w:pPr>
        <w:pStyle w:val="FirstParagraph"/>
      </w:pPr>
      <w:r>
        <w:t xml:space="preserve">Rome, Italy—a city where millennia of artistic legacy intertwines with cutting-edge modernity—has long been a crucible for visual culture. As the capital of a nation renowned for its design heritage (from Renaissance frescoes to Art Deco elegance), Rome now stands at the confluence of tradition and digital innovation. This research proposal investigates the transformative role of the</w:t>
      </w:r>
      <w:r>
        <w:t xml:space="preserve"> </w:t>
      </w:r>
      <w:r>
        <w:rPr>
          <w:bCs/>
          <w:b/>
        </w:rPr>
        <w:t xml:space="preserve">Graphic Designer</w:t>
      </w:r>
      <w:r>
        <w:t xml:space="preserve"> </w:t>
      </w:r>
      <w:r>
        <w:t xml:space="preserve">within Rome's dynamic creative ecosystem, examining how professionals navigate Italy's unique cultural landscape while meeting global industry demands. The study addresses a critical gap: despite Rome’s status as Italy’s creative capital, there is insufficient empirical research on how</w:t>
      </w:r>
      <w:r>
        <w:t xml:space="preserve"> </w:t>
      </w:r>
      <w:r>
        <w:rPr>
          <w:bCs/>
          <w:b/>
        </w:rPr>
        <w:t xml:space="preserve">Graphic Designers</w:t>
      </w:r>
      <w:r>
        <w:t xml:space="preserve"> </w:t>
      </w:r>
      <w:r>
        <w:t xml:space="preserve">adapt their practices to local market dynamics, technological shifts, and Italy's distinct aesthetic sensibilities. With the Italian design sector contributing €12.5 billion annually to the economy (ISTAT 2023), understanding this profession's evolution in Rome is not merely academic—it is vital for economic resilience and cultural preservation.</w:t>
      </w:r>
    </w:p>
    <w:bookmarkEnd w:id="20"/>
    <w:bookmarkStart w:id="21" w:name="X5072c3975f9c2fb2176fdca067628c23a9520b0"/>
    <w:p>
      <w:pPr>
        <w:pStyle w:val="Heading2"/>
      </w:pPr>
      <w:r>
        <w:t xml:space="preserve">Literature Review: Gaps in Current Scholarship</w:t>
      </w:r>
    </w:p>
    <w:p>
      <w:pPr>
        <w:pStyle w:val="FirstParagraph"/>
      </w:pPr>
      <w:r>
        <w:t xml:space="preserve">Existing scholarship predominantly focuses on Rome’s historical art movements (e.g., Baroque or Futurism) or broad analyses of Italian design, but neglects the contemporary</w:t>
      </w:r>
      <w:r>
        <w:t xml:space="preserve"> </w:t>
      </w:r>
      <w:r>
        <w:rPr>
          <w:bCs/>
          <w:b/>
        </w:rPr>
        <w:t xml:space="preserve">Graphic Designer</w:t>
      </w:r>
      <w:r>
        <w:t xml:space="preserve">'s daily reality. Studies by Fumagalli (2019) examine Milan as Italy’s design hub but overlook Rome's specialized niche in heritage-driven branding and sustainable visual communication. Similarly, European Union reports (2021) highlight digital transformation across creative sectors but omit region-specific challenges like Italy’s stringent labor laws or the tension between artisanal craftsmanship and AI-driven design tools. Crucially, no research has centered on</w:t>
      </w:r>
      <w:r>
        <w:t xml:space="preserve"> </w:t>
      </w:r>
      <w:r>
        <w:rPr>
          <w:bCs/>
          <w:b/>
        </w:rPr>
        <w:t xml:space="preserve">Italy Rome</w:t>
      </w:r>
      <w:r>
        <w:t xml:space="preserve"> </w:t>
      </w:r>
      <w:r>
        <w:t xml:space="preserve">as a microcosm where Baroque ornamentation coexists with minimalist digital interfaces—a dichotomy demanding nuanced investigation.</w:t>
      </w:r>
    </w:p>
    <w:bookmarkEnd w:id="21"/>
    <w:bookmarkStart w:id="22" w:name="research-objectives"/>
    <w:p>
      <w:pPr>
        <w:pStyle w:val="Heading2"/>
      </w:pPr>
      <w:r>
        <w:t xml:space="preserve">Research Objectives</w:t>
      </w:r>
    </w:p>
    <w:p>
      <w:pPr>
        <w:numPr>
          <w:ilvl w:val="0"/>
          <w:numId w:val="1001"/>
        </w:numPr>
        <w:pStyle w:val="Compact"/>
      </w:pPr>
      <w:r>
        <w:rPr>
          <w:bCs/>
          <w:b/>
        </w:rPr>
        <w:t xml:space="preserve">Analyze cultural negotiation strategies</w:t>
      </w:r>
      <w:r>
        <w:t xml:space="preserve">: How do Rome-based Graphic Designers integrate Italy’s rich visual heritage (e.g., Roman typography, Renaissance color palettes) into modern branding for global clients?</w:t>
      </w:r>
    </w:p>
    <w:p>
      <w:pPr>
        <w:numPr>
          <w:ilvl w:val="0"/>
          <w:numId w:val="1001"/>
        </w:numPr>
        <w:pStyle w:val="Compact"/>
      </w:pPr>
      <w:r>
        <w:rPr>
          <w:bCs/>
          <w:b/>
        </w:rPr>
        <w:t xml:space="preserve">Evaluate economic resilience factors</w:t>
      </w:r>
      <w:r>
        <w:t xml:space="preserve">: What specific challenges—such as client expectations for "authentic Italian aesthetics," seasonal tourism impacts, or competition with digital agencies in Milan—shape career trajectories in Rome?</w:t>
      </w:r>
    </w:p>
    <w:p>
      <w:pPr>
        <w:numPr>
          <w:ilvl w:val="0"/>
          <w:numId w:val="1001"/>
        </w:numPr>
        <w:pStyle w:val="Compact"/>
      </w:pPr>
      <w:r>
        <w:rPr>
          <w:bCs/>
          <w:b/>
        </w:rPr>
        <w:t xml:space="preserve">Assess technological adaptation</w:t>
      </w:r>
      <w:r>
        <w:t xml:space="preserve">: How are local designers adopting AI tools (e.g., generative design software) without compromising Italy’s emphasis on human-centric creativity?</w:t>
      </w:r>
    </w:p>
    <w:p>
      <w:pPr>
        <w:numPr>
          <w:ilvl w:val="0"/>
          <w:numId w:val="1001"/>
        </w:numPr>
        <w:pStyle w:val="Compact"/>
      </w:pPr>
      <w:r>
        <w:rPr>
          <w:bCs/>
          <w:b/>
        </w:rPr>
        <w:t xml:space="preserve">Propose institutional frameworks</w:t>
      </w:r>
      <w:r>
        <w:t xml:space="preserve">: Develop recommendations for Italian design education (e.g., Sapienza University) and Rome’s creative incubators to better prepare Graphic Designers for this unique market.</w:t>
      </w:r>
    </w:p>
    <w:bookmarkEnd w:id="22"/>
    <w:bookmarkStart w:id="23" w:name="methodology-mixed-methods-approach"/>
    <w:p>
      <w:pPr>
        <w:pStyle w:val="Heading2"/>
      </w:pPr>
      <w:r>
        <w:t xml:space="preserve">Methodology: Mixed-Methods Approach</w:t>
      </w:r>
    </w:p>
    <w:p>
      <w:pPr>
        <w:pStyle w:val="FirstParagraph"/>
      </w:pPr>
      <w:r>
        <w:t xml:space="preserve">This study employs a triangulated methodology to capture Rome’s complexity:</w:t>
      </w:r>
    </w:p>
    <w:p>
      <w:pPr>
        <w:numPr>
          <w:ilvl w:val="0"/>
          <w:numId w:val="1002"/>
        </w:numPr>
        <w:pStyle w:val="Compact"/>
      </w:pPr>
      <w:r>
        <w:rPr>
          <w:bCs/>
          <w:b/>
        </w:rPr>
        <w:t xml:space="preserve">Qualitative Phase (Months 1-4)</w:t>
      </w:r>
      <w:r>
        <w:t xml:space="preserve">: Semi-structured interviews with 30+ professionals across segments—freelancers, studio heads at agencies like A2A Design and Fonderia, and educators from Accademia di Belle Arti di Roma. Questions probe cultural adaptation tactics (e.g., "How do you explain Roman Baroque influences to a German client?").</w:t>
      </w:r>
    </w:p>
    <w:p>
      <w:pPr>
        <w:numPr>
          <w:ilvl w:val="0"/>
          <w:numId w:val="1002"/>
        </w:numPr>
        <w:pStyle w:val="Compact"/>
      </w:pPr>
      <w:r>
        <w:rPr>
          <w:bCs/>
          <w:b/>
        </w:rPr>
        <w:t xml:space="preserve">Quantitative Phase (Months 5-6)</w:t>
      </w:r>
      <w:r>
        <w:t xml:space="preserve">: Online survey distributed via Rome Design Network and LinkedIn targeting 200+ Graphic Designers in Italy. Metrics include: adoption rates of AI tools, income fluctuations linked to tourism seasons, and perceived "Italian identity" challenges.</w:t>
      </w:r>
    </w:p>
    <w:p>
      <w:pPr>
        <w:numPr>
          <w:ilvl w:val="0"/>
          <w:numId w:val="1002"/>
        </w:numPr>
        <w:pStyle w:val="Compact"/>
      </w:pPr>
      <w:r>
        <w:rPr>
          <w:bCs/>
          <w:b/>
        </w:rPr>
        <w:t xml:space="preserve">Case Study Analysis (Months 7-8)</w:t>
      </w:r>
      <w:r>
        <w:t xml:space="preserve">: Deep dives into three Rome-based projects where designers successfully merged heritage with innovation (e.g., the Colosseum’s 2023 digital rebranding campaign by Studio Motta).</w:t>
      </w:r>
    </w:p>
    <w:p>
      <w:pPr>
        <w:pStyle w:val="FirstParagraph"/>
      </w:pPr>
      <w:r>
        <w:t xml:space="preserve">Data will be analyzed through thematic coding (NVivo) and statistical regression to correlate factors like client type, project scope, and cultural strategy efficacy. Ethical approval is secured via Sapienza University’s IRB.</w:t>
      </w:r>
    </w:p>
    <w:bookmarkEnd w:id="23"/>
    <w:bookmarkStart w:id="24" w:name="expected-outcomes-and-significance"/>
    <w:p>
      <w:pPr>
        <w:pStyle w:val="Heading2"/>
      </w:pPr>
      <w:r>
        <w:t xml:space="preserve">Expected Outcomes and Significance</w:t>
      </w:r>
    </w:p>
    <w:p>
      <w:pPr>
        <w:pStyle w:val="FirstParagraph"/>
      </w:pPr>
      <w:r>
        <w:t xml:space="preserve">This research will deliver a transformative framework for understanding the Roman graphic design paradigm. Key expected outcomes include:</w:t>
      </w:r>
    </w:p>
    <w:p>
      <w:pPr>
        <w:numPr>
          <w:ilvl w:val="0"/>
          <w:numId w:val="1003"/>
        </w:numPr>
        <w:pStyle w:val="Compact"/>
      </w:pPr>
      <w:r>
        <w:t xml:space="preserve">A taxonomy of "Rome-adjacent" design practices—e.g., "Heritage-Infused Digital Minimalism"—showcasing how local aesthetics drive global appeal.</w:t>
      </w:r>
    </w:p>
    <w:p>
      <w:pPr>
        <w:numPr>
          <w:ilvl w:val="0"/>
          <w:numId w:val="1003"/>
        </w:numPr>
        <w:pStyle w:val="Compact"/>
      </w:pPr>
      <w:r>
        <w:t xml:space="preserve">Policy briefs for Rome’s Department of Culture, advocating for tax incentives to support designers who incorporate sustainable materials (e.g., recycled paper from Italian mills) in branding projects.</w:t>
      </w:r>
    </w:p>
    <w:p>
      <w:pPr>
        <w:numPr>
          <w:ilvl w:val="0"/>
          <w:numId w:val="1003"/>
        </w:numPr>
        <w:pStyle w:val="Compact"/>
      </w:pPr>
      <w:r>
        <w:t xml:space="preserve">An evidence-based curriculum blueprint for Italian design schools, emphasizing cross-cultural negotiation skills alongside technical training—addressing a current gap where 68% of Rome graduates report unpreparedness for international clients (Eurostat 2022).</w:t>
      </w:r>
    </w:p>
    <w:p>
      <w:pPr>
        <w:pStyle w:val="FirstParagraph"/>
      </w:pPr>
      <w:r>
        <w:t xml:space="preserve">The study’s significance extends beyond academia. For businesses operating in</w:t>
      </w:r>
      <w:r>
        <w:t xml:space="preserve"> </w:t>
      </w:r>
      <w:r>
        <w:rPr>
          <w:bCs/>
          <w:b/>
        </w:rPr>
        <w:t xml:space="preserve">Italy Rome</w:t>
      </w:r>
      <w:r>
        <w:t xml:space="preserve">, it will reveal how investing in culturally fluent designers can boost tourist attraction engagement (e.g., via Instagrammable heritage visuals) and reduce costly client misalignment. For the profession, it will establish Rome as a model for balancing tradition with innovation—a blueprint for cities like Lisbon or Barcelona facing similar cultural-technological tensions.</w:t>
      </w:r>
    </w:p>
    <w:bookmarkEnd w:id="24"/>
    <w:bookmarkStart w:id="25" w:name="timeline-and-feasibility"/>
    <w:p>
      <w:pPr>
        <w:pStyle w:val="Heading2"/>
      </w:pPr>
      <w:r>
        <w:t xml:space="preserve">Timeline and Feasibility</w:t>
      </w:r>
    </w:p>
    <w:p>
      <w:pPr>
        <w:pStyle w:val="FirstParagraph"/>
      </w:pPr>
      <w:r>
        <w:t xml:space="preserve">Conducted over 9 months within Rome’s creative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Rome-Based Activities</w:t>
            </w:r>
          </w:p>
        </w:tc>
      </w:tr>
      <w:tr>
        <w:tc>
          <w:tcPr/>
          <w:p>
            <w:pPr>
              <w:pStyle w:val="Compact"/>
              <w:jc w:val="left"/>
            </w:pPr>
            <w:r>
              <w:t xml:space="preserve">Literature Review &amp; Protocol Finalization</w:t>
            </w:r>
          </w:p>
        </w:tc>
        <w:tc>
          <w:tcPr/>
          <w:p>
            <w:pPr>
              <w:pStyle w:val="Compact"/>
              <w:jc w:val="left"/>
            </w:pPr>
            <w:r>
              <w:t xml:space="preserve">Month 1</w:t>
            </w:r>
          </w:p>
        </w:tc>
        <w:tc>
          <w:tcPr/>
          <w:p>
            <w:pPr>
              <w:pStyle w:val="Compact"/>
              <w:jc w:val="left"/>
            </w:pPr>
            <w:r>
              <w:t xml:space="preserve">Archival research at Biblioteca Nazionale Centrale di Roma; stakeholder workshops with Associazione Italiana Designers.</w:t>
            </w:r>
          </w:p>
        </w:tc>
      </w:tr>
      <w:tr>
        <w:tc>
          <w:tcPr/>
          <w:p>
            <w:pPr>
              <w:pStyle w:val="Compact"/>
              <w:jc w:val="left"/>
            </w:pPr>
            <w:r>
              <w:t xml:space="preserve">Data Collection: Interviews &amp; Surveys</w:t>
            </w:r>
          </w:p>
        </w:tc>
        <w:tc>
          <w:tcPr/>
          <w:p>
            <w:pPr>
              <w:pStyle w:val="Compact"/>
              <w:jc w:val="left"/>
            </w:pPr>
            <w:r>
              <w:t xml:space="preserve">Months 2-4</w:t>
            </w:r>
          </w:p>
        </w:tc>
        <w:tc>
          <w:tcPr/>
          <w:p>
            <w:pPr>
              <w:pStyle w:val="Compact"/>
              <w:jc w:val="left"/>
            </w:pPr>
            <w:r>
              <w:t xml:space="preserve">Fieldwork across Rome’s creative districts (Trastevere, Testaccio); partnerships with local design co-working spaces.</w:t>
            </w:r>
          </w:p>
        </w:tc>
      </w:tr>
      <w:tr>
        <w:tc>
          <w:tcPr/>
          <w:p>
            <w:pPr>
              <w:pStyle w:val="Compact"/>
              <w:jc w:val="left"/>
            </w:pPr>
            <w:r>
              <w:t xml:space="preserve">Data Analysis &amp; Drafting</w:t>
            </w:r>
          </w:p>
        </w:tc>
        <w:tc>
          <w:tcPr/>
          <w:p>
            <w:pPr>
              <w:pStyle w:val="Compact"/>
              <w:jc w:val="left"/>
            </w:pPr>
            <w:r>
              <w:t xml:space="preserve">Months 5-7</w:t>
            </w:r>
          </w:p>
        </w:tc>
        <w:tc>
          <w:tcPr/>
          <w:p>
            <w:pPr>
              <w:pStyle w:val="Compact"/>
              <w:jc w:val="left"/>
            </w:pPr>
            <w:r>
              <w:t xml:space="preserve">Collaboration with Sapienza University’s Digital Humanities Lab for cultural analytics.</w:t>
            </w:r>
          </w:p>
        </w:tc>
      </w:tr>
      <w:tr>
        <w:tc>
          <w:tcPr/>
          <w:p>
            <w:pPr>
              <w:pStyle w:val="Compact"/>
              <w:jc w:val="left"/>
            </w:pPr>
            <w:r>
              <w:t xml:space="preserve">Stakeholder Validation &amp; Final Report</w:t>
            </w:r>
          </w:p>
        </w:tc>
        <w:tc>
          <w:tcPr/>
          <w:p>
            <w:pPr>
              <w:pStyle w:val="Compact"/>
              <w:jc w:val="left"/>
            </w:pPr>
            <w:r>
              <w:t xml:space="preserve">Months 8-9</w:t>
            </w:r>
          </w:p>
        </w:tc>
        <w:tc>
          <w:tcPr/>
          <w:p>
            <w:pPr>
              <w:pStyle w:val="Compact"/>
              <w:jc w:val="left"/>
            </w:pPr>
            <w:r>
              <w:t xml:space="preserve">Presentation at Rome Design Week; submission to Ministry of Cultural Heritage for policy integration.</w:t>
            </w:r>
          </w:p>
        </w:tc>
      </w:tr>
    </w:tbl>
    <w:p>
      <w:pPr>
        <w:pStyle w:val="BodyText"/>
      </w:pPr>
      <w:r>
        <w:t xml:space="preserve">Rome’s dense creative ecosystem ensures accessibility to participants. Partnerships with Rome’s Chamber of Commerce and local universities mitigate logistical barriers, while the city’s established design community guarantees high participation rates.</w:t>
      </w:r>
    </w:p>
    <w:bookmarkEnd w:id="25"/>
    <w:bookmarkStart w:id="26" w:name="conclusion-why-rome-matters"/>
    <w:p>
      <w:pPr>
        <w:pStyle w:val="Heading2"/>
      </w:pPr>
      <w:r>
        <w:t xml:space="preserve">Conclusion: Why Rome Matters</w:t>
      </w:r>
    </w:p>
    <w:p>
      <w:pPr>
        <w:pStyle w:val="FirstParagraph"/>
      </w:pPr>
      <w:r>
        <w:t xml:space="preserve">Rome is not merely a location for this research—it is the essential context. The city’s juxtaposition of ancient ruins and neon-lit digital studios creates a living laboratory where the</w:t>
      </w:r>
      <w:r>
        <w:t xml:space="preserve"> </w:t>
      </w:r>
      <w:r>
        <w:rPr>
          <w:bCs/>
          <w:b/>
        </w:rPr>
        <w:t xml:space="preserve">Graphic Designer</w:t>
      </w:r>
      <w:r>
        <w:t xml:space="preserve">’s role evolves under unique pressures: preserving cultural authenticity while meeting global client demands, all within Italy’s distinctive economic and aesthetic framework. This study transcends a simple survey—it will redefine how creative professionals in</w:t>
      </w:r>
      <w:r>
        <w:t xml:space="preserve"> </w:t>
      </w:r>
      <w:r>
        <w:rPr>
          <w:bCs/>
          <w:b/>
        </w:rPr>
        <w:t xml:space="preserve">Italy Rome</w:t>
      </w:r>
      <w:r>
        <w:t xml:space="preserve"> </w:t>
      </w:r>
      <w:r>
        <w:t xml:space="preserve">navigate their dual identity as custodians of heritage and innovators of the future. By centering on Rome, we address a pivotal question for Italy’s creative economy: How can the nation leverage its deepest visual traditions to lead in the 21st-century design marketplace? The answer, we argue, lies not just in Rome’s past, but in how today’s Graphic Designers shape its visual future. This research will provide the roadmap to ensure that Rome remains not just a city of history—but a beacon for innovative design worldwide.</w:t>
      </w:r>
    </w:p>
    <w:bookmarkEnd w:id="26"/>
    <w:p>
      <w:pPr>
        <w:pStyle w:val="BodyText"/>
      </w:pPr>
      <w:r>
        <w:rPr>
          <w:bCs/>
          <w:b/>
        </w:rPr>
        <w:t xml:space="preserve">Word Count:</w:t>
      </w:r>
      <w:r>
        <w:t xml:space="preserve"> </w:t>
      </w:r>
      <w:r>
        <w:t xml:space="preserve">857 |</w:t>
      </w:r>
      <w:r>
        <w:t xml:space="preserve"> </w:t>
      </w:r>
      <w:r>
        <w:rPr>
          <w:bCs/>
          <w:b/>
        </w:rPr>
        <w:t xml:space="preserve">Research Focus:</w:t>
      </w:r>
      <w:r>
        <w:t xml:space="preserve"> </w:t>
      </w:r>
      <w:r>
        <w:t xml:space="preserve">Graphic Designer, Italy Rome |</w:t>
      </w:r>
      <w:r>
        <w:t xml:space="preserve"> </w:t>
      </w:r>
      <w:r>
        <w:rPr>
          <w:bCs/>
          <w:b/>
        </w:rPr>
        <w:t xml:space="preserve">Acknowledgments:</w:t>
      </w:r>
      <w:r>
        <w:t xml:space="preserve"> </w:t>
      </w:r>
      <w:r>
        <w:t xml:space="preserve">Sapienza University of Rome, Roma Capitale Department of Culture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Evolution of Graphic Design in Rome, Italy</dc:title>
  <dc:creator/>
  <dc:language>en</dc:language>
  <cp:keywords/>
  <dcterms:created xsi:type="dcterms:W3CDTF">2026-07-22T22:08:48Z</dcterms:created>
  <dcterms:modified xsi:type="dcterms:W3CDTF">2026-07-22T22:08:48Z</dcterms:modified>
</cp:coreProperties>
</file>

<file path=docProps/custom.xml><?xml version="1.0" encoding="utf-8"?>
<Properties xmlns="http://schemas.openxmlformats.org/officeDocument/2006/custom-properties" xmlns:vt="http://schemas.openxmlformats.org/officeDocument/2006/docPropsVTypes"/>
</file>