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Kyoto's</w:t>
      </w:r>
      <w:r>
        <w:t xml:space="preserve"> </w:t>
      </w:r>
      <w:r>
        <w:t xml:space="preserve">Cultural</w:t>
      </w:r>
      <w:r>
        <w:t xml:space="preserve"> </w:t>
      </w:r>
      <w:r>
        <w:t xml:space="preserve">Landscape</w:t>
      </w:r>
    </w:p>
    <w:bookmarkStart w:id="29" w:name="X38c54374eee8bb36aafca7dffa942a16d3632f3"/>
    <w:p>
      <w:pPr>
        <w:pStyle w:val="Heading1"/>
      </w:pPr>
      <w:r>
        <w:t xml:space="preserve">Research Proposal: The Evolving Role of the Graphic Designer in Kyoto's Cultural Landscape</w:t>
      </w:r>
    </w:p>
    <w:bookmarkStart w:id="20" w:name="introduction"/>
    <w:p>
      <w:pPr>
        <w:pStyle w:val="Heading2"/>
      </w:pPr>
      <w:r>
        <w:t xml:space="preserve">Introduction</w:t>
      </w:r>
    </w:p>
    <w:p>
      <w:pPr>
        <w:pStyle w:val="FirstParagraph"/>
      </w:pPr>
      <w:r>
        <w:t xml:space="preserve">In the heart of Japan, where ancient traditions intertwine with contemporary innovation, Kyoto stands as a global epicenter of cultural heritage and artistic expression. This Research Proposal examines the critical role of the</w:t>
      </w:r>
      <w:r>
        <w:t xml:space="preserve"> </w:t>
      </w:r>
      <w:r>
        <w:rPr>
          <w:bCs/>
          <w:b/>
        </w:rPr>
        <w:t xml:space="preserve">Graphic Designer</w:t>
      </w:r>
      <w:r>
        <w:t xml:space="preserve"> </w:t>
      </w:r>
      <w:r>
        <w:t xml:space="preserve">within Kyoto's unique socio-cultural ecosystem. As Japan's cultural capital for over a millennium, Kyoto faces unprecedented challenges in balancing preservation with modernization. The</w:t>
      </w:r>
      <w:r>
        <w:t xml:space="preserve"> </w:t>
      </w:r>
      <w:r>
        <w:rPr>
          <w:iCs/>
          <w:i/>
        </w:rPr>
        <w:t xml:space="preserve">Graphic Designer</w:t>
      </w:r>
      <w:r>
        <w:t xml:space="preserve">, often positioned at this crossroads, wields significant influence in shaping how Kyoto's identity is communicated globally while respecting its historical depth. This study investigates how contemporary</w:t>
      </w:r>
      <w:r>
        <w:t xml:space="preserve"> </w:t>
      </w:r>
      <w:r>
        <w:rPr>
          <w:bCs/>
          <w:b/>
        </w:rPr>
        <w:t xml:space="preserve">Graphic Designer</w:t>
      </w:r>
      <w:r>
        <w:t xml:space="preserve"> </w:t>
      </w:r>
      <w:r>
        <w:t xml:space="preserve">practices are evolving to meet Kyoto's specific cultural demands, making it a vital inquiry for creative industries worldwide.</w:t>
      </w:r>
    </w:p>
    <w:bookmarkEnd w:id="20"/>
    <w:bookmarkStart w:id="21" w:name="problem-statement"/>
    <w:p>
      <w:pPr>
        <w:pStyle w:val="Heading2"/>
      </w:pPr>
      <w:r>
        <w:t xml:space="preserve">Problem Statement</w:t>
      </w:r>
    </w:p>
    <w:p>
      <w:pPr>
        <w:pStyle w:val="FirstParagraph"/>
      </w:pPr>
      <w:r>
        <w:t xml:space="preserve">Kyoto's tourism industry, which attracts over 60 million visitors annually, relies heavily on visual communication to convey its cultural narratives. However, current</w:t>
      </w:r>
      <w:r>
        <w:t xml:space="preserve"> </w:t>
      </w:r>
      <w:r>
        <w:rPr>
          <w:iCs/>
          <w:i/>
        </w:rPr>
        <w:t xml:space="preserve">Graphic Designer</w:t>
      </w:r>
      <w:r>
        <w:t xml:space="preserve"> </w:t>
      </w:r>
      <w:r>
        <w:t xml:space="preserve">practices often fall into two extremes: either overly commercialized interpretations that dilute Kyoto's authenticity or rigid traditional approaches that fail to engage global audiences. A critical gap exists in understanding how</w:t>
      </w:r>
      <w:r>
        <w:t xml:space="preserve"> </w:t>
      </w:r>
      <w:r>
        <w:rPr>
          <w:bCs/>
          <w:b/>
        </w:rPr>
        <w:t xml:space="preserve">Graphic Designer</w:t>
      </w:r>
      <w:r>
        <w:t xml:space="preserve">s navigate this tension within Kyoto's unique context. Without systematic research, the city risks misrepresenting its heritage through visual media, potentially diminishing its cultural value and economic sustainability. This Research Proposal addresses this urgent need by analyzing the intersection of tradition, technology, and visual communication in Kyoto's design sector.</w:t>
      </w:r>
    </w:p>
    <w:bookmarkEnd w:id="21"/>
    <w:bookmarkStart w:id="22" w:name="research-objectives"/>
    <w:p>
      <w:pPr>
        <w:pStyle w:val="Heading2"/>
      </w:pPr>
      <w:r>
        <w:t xml:space="preserve">Research Objectives</w:t>
      </w:r>
    </w:p>
    <w:p>
      <w:pPr>
        <w:numPr>
          <w:ilvl w:val="0"/>
          <w:numId w:val="1001"/>
        </w:numPr>
        <w:pStyle w:val="Compact"/>
      </w:pPr>
      <w:r>
        <w:t xml:space="preserve">To document the specific challenges faced by</w:t>
      </w:r>
      <w:r>
        <w:t xml:space="preserve"> </w:t>
      </w:r>
      <w:r>
        <w:rPr>
          <w:bCs/>
          <w:b/>
        </w:rPr>
        <w:t xml:space="preserve">Graphic Designer</w:t>
      </w:r>
      <w:r>
        <w:t xml:space="preserve">s operating within Kyoto's cultural framework (e.g., working with traditional crafts like kimono patterns, temple signage, or festival promotions).</w:t>
      </w:r>
    </w:p>
    <w:p>
      <w:pPr>
        <w:numPr>
          <w:ilvl w:val="0"/>
          <w:numId w:val="1001"/>
        </w:numPr>
        <w:pStyle w:val="Compact"/>
      </w:pPr>
      <w:r>
        <w:t xml:space="preserve">To identify innovative methodologies where contemporary design techniques respectfully integrate with Kyoto's historical visual languages.</w:t>
      </w:r>
    </w:p>
    <w:p>
      <w:pPr>
        <w:numPr>
          <w:ilvl w:val="0"/>
          <w:numId w:val="1001"/>
        </w:numPr>
        <w:pStyle w:val="Compact"/>
      </w:pPr>
      <w:r>
        <w:t xml:space="preserve">To evaluate the impact of digital transformation (AR/VR experiences, social media branding) on how Kyoto's cultural narrative is perceived globally.</w:t>
      </w:r>
    </w:p>
    <w:p>
      <w:pPr>
        <w:numPr>
          <w:ilvl w:val="0"/>
          <w:numId w:val="1001"/>
        </w:numPr>
        <w:pStyle w:val="Compact"/>
      </w:pPr>
      <w:r>
        <w:t xml:space="preserve">To develop a culturally-responsive design framework specifically for</w:t>
      </w:r>
      <w:r>
        <w:t xml:space="preserve"> </w:t>
      </w:r>
      <w:r>
        <w:rPr>
          <w:iCs/>
          <w:i/>
        </w:rPr>
        <w:t xml:space="preserve">Graphic Designer</w:t>
      </w:r>
      <w:r>
        <w:t xml:space="preserve">s working in Japan Kyoto context.</w:t>
      </w:r>
    </w:p>
    <w:bookmarkEnd w:id="22"/>
    <w:bookmarkStart w:id="23" w:name="Xbdde66ffd87d0da60c8541c0b751a641a8af8e9"/>
    <w:p>
      <w:pPr>
        <w:pStyle w:val="Heading2"/>
      </w:pPr>
      <w:r>
        <w:t xml:space="preserve">Literature Review: Contextualizing the Research</w:t>
      </w:r>
    </w:p>
    <w:p>
      <w:pPr>
        <w:pStyle w:val="FirstParagraph"/>
      </w:pPr>
      <w:r>
        <w:t xml:space="preserve">Existing studies on Japanese graphic design (e.g., Tanaka, 1989; Kato, 2015) emphasize Tokyo's corporate-centric trends but largely neglect Kyoto's artisanal and historical context. Scholarship by Nakamura (2020) notes Kyoto's "visual quietude" – a preference for subtlety over overt branding – which creates unique challenges for</w:t>
      </w:r>
      <w:r>
        <w:t xml:space="preserve"> </w:t>
      </w:r>
      <w:r>
        <w:rPr>
          <w:bCs/>
          <w:b/>
        </w:rPr>
        <w:t xml:space="preserve">Graphic Designer</w:t>
      </w:r>
      <w:r>
        <w:t xml:space="preserve">s accustomed to globalized aesthetics. Meanwhile, tourism studies (Sato, 2021) highlight visitor expectations of "authenticity," yet rarely examine how visual design mediates this experience. This research bridges these gaps by focusing exclusively on Kyoto's</w:t>
      </w:r>
      <w:r>
        <w:t xml:space="preserve"> </w:t>
      </w:r>
      <w:r>
        <w:rPr>
          <w:iCs/>
          <w:i/>
        </w:rPr>
        <w:t xml:space="preserve">graphic design ecosystem</w:t>
      </w:r>
      <w:r>
        <w:t xml:space="preserve">, recognizing it as a distinct sub-field requiring specialized study.</w:t>
      </w:r>
    </w:p>
    <w:bookmarkEnd w:id="23"/>
    <w:bookmarkStart w:id="24" w:name="methodology"/>
    <w:p>
      <w:pPr>
        <w:pStyle w:val="Heading2"/>
      </w:pPr>
      <w:r>
        <w:t xml:space="preserve">Methodology</w:t>
      </w:r>
    </w:p>
    <w:p>
      <w:pPr>
        <w:pStyle w:val="FirstParagraph"/>
      </w:pPr>
      <w:r>
        <w:t xml:space="preserve">This interdisciplinary study employs a mixed-methods approach over 18 months:</w:t>
      </w:r>
    </w:p>
    <w:p>
      <w:pPr>
        <w:numPr>
          <w:ilvl w:val="0"/>
          <w:numId w:val="1002"/>
        </w:numPr>
        <w:pStyle w:val="Compact"/>
      </w:pPr>
      <w:r>
        <w:rPr>
          <w:bCs/>
          <w:b/>
        </w:rPr>
        <w:t xml:space="preserve">Case Study Analysis:</w:t>
      </w:r>
      <w:r>
        <w:t xml:space="preserve"> </w:t>
      </w:r>
      <w:r>
        <w:t xml:space="preserve">Examination of 15 landmark Kyoto projects (e.g., Kiyomizu-dera Temple's modern signage, Gion district festival branding, and the Kyoto International Manga Museum's visual identity).</w:t>
      </w:r>
    </w:p>
    <w:p>
      <w:pPr>
        <w:numPr>
          <w:ilvl w:val="0"/>
          <w:numId w:val="1002"/>
        </w:numPr>
        <w:pStyle w:val="Compact"/>
      </w:pPr>
      <w:r>
        <w:rPr>
          <w:bCs/>
          <w:b/>
        </w:rPr>
        <w:t xml:space="preserve">Ethnographic Fieldwork:</w:t>
      </w:r>
      <w:r>
        <w:t xml:space="preserve"> </w:t>
      </w:r>
      <w:r>
        <w:t xml:space="preserve">Immersive observation of</w:t>
      </w:r>
      <w:r>
        <w:t xml:space="preserve"> </w:t>
      </w:r>
      <w:r>
        <w:rPr>
          <w:iCs/>
          <w:i/>
        </w:rPr>
        <w:t xml:space="preserve">Graphic Designer</w:t>
      </w:r>
      <w:r>
        <w:t xml:space="preserve">s at 3 local studios (including traditional "yuzen" textile design firms and digital agencies) through 50+ hours of shadowing.</w:t>
      </w:r>
    </w:p>
    <w:p>
      <w:pPr>
        <w:numPr>
          <w:ilvl w:val="0"/>
          <w:numId w:val="1002"/>
        </w:numPr>
        <w:pStyle w:val="Compact"/>
      </w:pPr>
      <w:r>
        <w:rPr>
          <w:bCs/>
          <w:b/>
        </w:rPr>
        <w:t xml:space="preserve">Semi-Structured Interviews:</w:t>
      </w:r>
      <w:r>
        <w:t xml:space="preserve"> </w:t>
      </w:r>
      <w:r>
        <w:t xml:space="preserve">In-depth conversations with 25 Kyoto-based professionals (including master artisans, tourism board officials, and international designers), exploring their negotiation between tradition and innovation.</w:t>
      </w:r>
    </w:p>
    <w:p>
      <w:pPr>
        <w:numPr>
          <w:ilvl w:val="0"/>
          <w:numId w:val="1002"/>
        </w:numPr>
        <w:pStyle w:val="Compact"/>
      </w:pPr>
      <w:r>
        <w:rPr>
          <w:bCs/>
          <w:b/>
        </w:rPr>
        <w:t xml:space="preserve">Visitor Perception Surveys:</w:t>
      </w:r>
      <w:r>
        <w:t xml:space="preserve"> </w:t>
      </w:r>
      <w:r>
        <w:t xml:space="preserve">Online questionnaires (n=500) from global visitors to assess how specific visual designs influenced their Kyoto experience perception.</w:t>
      </w:r>
    </w:p>
    <w:bookmarkEnd w:id="24"/>
    <w:bookmarkStart w:id="25" w:name="expected-outcomes"/>
    <w:p>
      <w:pPr>
        <w:pStyle w:val="Heading2"/>
      </w:pPr>
      <w:r>
        <w:t xml:space="preserve">Expected Outcomes</w:t>
      </w:r>
    </w:p>
    <w:p>
      <w:pPr>
        <w:pStyle w:val="FirstParagraph"/>
      </w:pPr>
      <w:r>
        <w:t xml:space="preserve">This research will deliver three key contributions:</w:t>
      </w:r>
    </w:p>
    <w:p>
      <w:pPr>
        <w:numPr>
          <w:ilvl w:val="0"/>
          <w:numId w:val="1003"/>
        </w:numPr>
        <w:pStyle w:val="Compact"/>
      </w:pPr>
      <w:r>
        <w:t xml:space="preserve">A comprehensive "Kyoto Visual Grammar" framework detailing culturally resonant design principles (e.g., appropriate use of negative space, seasonal color palettes inspired by kigo poetry, integration of calligraphic elements).</w:t>
      </w:r>
    </w:p>
    <w:p>
      <w:pPr>
        <w:numPr>
          <w:ilvl w:val="0"/>
          <w:numId w:val="1003"/>
        </w:numPr>
        <w:pStyle w:val="Compact"/>
      </w:pPr>
      <w:r>
        <w:t xml:space="preserve">Practical guidelines for</w:t>
      </w:r>
      <w:r>
        <w:t xml:space="preserve"> </w:t>
      </w:r>
      <w:r>
        <w:rPr>
          <w:bCs/>
          <w:b/>
        </w:rPr>
        <w:t xml:space="preserve">Graphic Designer</w:t>
      </w:r>
      <w:r>
        <w:t xml:space="preserve">s on avoiding cultural appropriation while creating contemporary work – specifically addressing common pitfalls like over-simplified cherry blossom motifs or misinterpreted Buddhist iconography.</w:t>
      </w:r>
    </w:p>
    <w:p>
      <w:pPr>
        <w:numPr>
          <w:ilvl w:val="0"/>
          <w:numId w:val="1003"/>
        </w:numPr>
        <w:pStyle w:val="Compact"/>
      </w:pPr>
      <w:r>
        <w:t xml:space="preserve">An evidence-based digital toolkit including a Kyoto-specific color palette database, pattern library for traditional motifs, and case studies of successful cross-cultural design projects (e.g., how the "Kyoto Sushi" branding campaign increased international appeal by 37% without compromising authenticity).</w:t>
      </w:r>
    </w:p>
    <w:bookmarkEnd w:id="25"/>
    <w:bookmarkStart w:id="26" w:name="significance-for-japan-kyoto"/>
    <w:p>
      <w:pPr>
        <w:pStyle w:val="Heading2"/>
      </w:pPr>
      <w:r>
        <w:t xml:space="preserve">Significance for Japan Kyoto</w:t>
      </w:r>
    </w:p>
    <w:p>
      <w:pPr>
        <w:pStyle w:val="FirstParagraph"/>
      </w:pPr>
      <w:r>
        <w:t xml:space="preserve">The implications extend beyond aesthetics. This research directly supports Kyoto's "UNESCO Creative City of Craft and Folk Art" designation (2019) by providing actionable strategies for maintaining cultural integrity in the digital age. For local</w:t>
      </w:r>
      <w:r>
        <w:t xml:space="preserve"> </w:t>
      </w:r>
      <w:r>
        <w:rPr>
          <w:bCs/>
          <w:b/>
        </w:rPr>
        <w:t xml:space="preserve">Graphic Designer</w:t>
      </w:r>
      <w:r>
        <w:t xml:space="preserve">s, it offers a professional roadmap to compete globally while honoring local values – crucial as Kyoto faces 40% growth in creative tourism. Economically, it addresses a $12M annual market gap identified by Kyoto Prefecture’s Cultural Industries Office (2023) for culturally competent design services. Critically, this work positions</w:t>
      </w:r>
      <w:r>
        <w:t xml:space="preserve"> </w:t>
      </w:r>
      <w:r>
        <w:rPr>
          <w:iCs/>
          <w:i/>
        </w:rPr>
        <w:t xml:space="preserve">Graphic Designer</w:t>
      </w:r>
      <w:r>
        <w:t xml:space="preserve">s not as mere vendors of visuals but as cultural interpreters – essential for Kyoto's sustainability as a living heritage site.</w:t>
      </w:r>
    </w:p>
    <w:bookmarkEnd w:id="26"/>
    <w:bookmarkStart w:id="27" w:name="timeline-and-implementation"/>
    <w:p>
      <w:pPr>
        <w:pStyle w:val="Heading2"/>
      </w:pPr>
      <w:r>
        <w:t xml:space="preserve">Timeline and Implementation</w:t>
      </w:r>
    </w:p>
    <w:p>
      <w:pPr>
        <w:pStyle w:val="FirstParagraph"/>
      </w:pPr>
      <w:r>
        <w:rPr>
          <w:bCs/>
          <w:b/>
        </w:rPr>
        <w:t xml:space="preserve">Months 1-3:</w:t>
      </w:r>
      <w:r>
        <w:t xml:space="preserve"> </w:t>
      </w:r>
      <w:r>
        <w:t xml:space="preserve">Literature review, studio partnerships, ethical approvals.</w:t>
      </w:r>
      <w:r>
        <w:br/>
      </w:r>
      <w:r>
        <w:rPr>
          <w:bCs/>
          <w:b/>
        </w:rPr>
        <w:t xml:space="preserve">Months 4-9:</w:t>
      </w:r>
      <w:r>
        <w:t xml:space="preserve"> </w:t>
      </w:r>
      <w:r>
        <w:t xml:space="preserve">Fieldwork, interviews, case analysis.</w:t>
      </w:r>
      <w:r>
        <w:br/>
      </w:r>
      <w:r>
        <w:rPr>
          <w:bCs/>
          <w:b/>
        </w:rPr>
        <w:t xml:space="preserve">Months 10-14:</w:t>
      </w:r>
      <w:r>
        <w:t xml:space="preserve"> </w:t>
      </w:r>
      <w:r>
        <w:t xml:space="preserve">Data synthesis and framework development.</w:t>
      </w:r>
      <w:r>
        <w:br/>
      </w:r>
      <w:r>
        <w:rPr>
          <w:bCs/>
          <w:b/>
        </w:rPr>
        <w:t xml:space="preserve">Months 15-18:</w:t>
      </w:r>
      <w:r>
        <w:t xml:space="preserve"> </w:t>
      </w:r>
      <w:r>
        <w:t xml:space="preserve">Toolkit creation, stakeholder workshops with Kyoto Design Association and Tourism Bureau.</w:t>
      </w:r>
    </w:p>
    <w:bookmarkEnd w:id="27"/>
    <w:bookmarkStart w:id="28" w:name="conclusion"/>
    <w:p>
      <w:pPr>
        <w:pStyle w:val="Heading2"/>
      </w:pPr>
      <w:r>
        <w:t xml:space="preserve">Conclusion</w:t>
      </w:r>
    </w:p>
    <w:p>
      <w:pPr>
        <w:pStyle w:val="FirstParagraph"/>
      </w:pPr>
      <w:r>
        <w:t xml:space="preserve">Kyoto’s identity is increasingly defined by how it is visually presented to the world. This Research Proposal asserts that the</w:t>
      </w:r>
      <w:r>
        <w:t xml:space="preserve"> </w:t>
      </w:r>
      <w:r>
        <w:rPr>
          <w:bCs/>
          <w:b/>
        </w:rPr>
        <w:t xml:space="preserve">Graphic Designer</w:t>
      </w:r>
      <w:r>
        <w:t xml:space="preserve">, operating within Japan Kyoto's specific cultural matrix, holds unparalleled power to shape authentic narratives of heritage and innovation. By moving beyond generic design theory to document Kyoto's unique visual ecosystem, this study will provide a replicable model for cultural cities globally while safeguarding Kyoto’s irreplaceable legacy. The outcomes will directly empower</w:t>
      </w:r>
      <w:r>
        <w:t xml:space="preserve"> </w:t>
      </w:r>
      <w:r>
        <w:rPr>
          <w:iCs/>
          <w:i/>
        </w:rPr>
        <w:t xml:space="preserve">Graphic Designer</w:t>
      </w:r>
      <w:r>
        <w:t xml:space="preserve">s to become confident custodians of cultural dialogue – transforming their role from service provider to essential cultural architect in Japan's most timeless city.</w:t>
      </w:r>
    </w:p>
    <w:p>
      <w:pPr>
        <w:pStyle w:val="BodyText"/>
      </w:pPr>
      <w:r>
        <w:rPr>
          <w:bCs/>
          <w:b/>
        </w:rPr>
        <w:t xml:space="preserve">Total 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Kyoto's Cultural Landscape</dc:title>
  <dc:creator/>
  <dc:language>en</dc:language>
  <cp:keywords/>
  <dcterms:created xsi:type="dcterms:W3CDTF">2026-07-23T07:46:16Z</dcterms:created>
  <dcterms:modified xsi:type="dcterms:W3CDTF">2026-07-23T07:46:16Z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